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8578" w14:textId="08D8A3A5" w:rsidR="00C064E9" w:rsidRPr="004F79DD" w:rsidRDefault="003368F4" w:rsidP="00C46BA4">
      <w:pPr>
        <w:spacing w:after="0" w:line="240" w:lineRule="auto"/>
        <w:rPr>
          <w:rFonts w:ascii="Verdana" w:hAnsi="Verdana"/>
          <w:sz w:val="18"/>
          <w:szCs w:val="18"/>
          <w:lang w:val="fr-FR"/>
        </w:rPr>
      </w:pPr>
      <w:r w:rsidRPr="004F79DD">
        <w:rPr>
          <w:noProof/>
          <w:lang w:val="fr-FR" w:eastAsia="de-DE"/>
        </w:rPr>
        <mc:AlternateContent>
          <mc:Choice Requires="wps">
            <w:drawing>
              <wp:anchor distT="0" distB="0" distL="114300" distR="114300" simplePos="0" relativeHeight="251661312" behindDoc="0" locked="0" layoutInCell="1" allowOverlap="1" wp14:anchorId="276C612F" wp14:editId="62E8BA1E">
                <wp:simplePos x="0" y="0"/>
                <wp:positionH relativeFrom="page">
                  <wp:posOffset>609600</wp:posOffset>
                </wp:positionH>
                <wp:positionV relativeFrom="margin">
                  <wp:posOffset>-86995</wp:posOffset>
                </wp:positionV>
                <wp:extent cx="4743450" cy="1905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CE02" w14:textId="77777777" w:rsidR="00390093" w:rsidRPr="003368F4" w:rsidRDefault="004F79DD" w:rsidP="00390093">
                            <w:pPr>
                              <w:rPr>
                                <w:rFonts w:ascii="Titillium" w:hAnsi="Titillium"/>
                                <w:color w:val="00B0F0"/>
                                <w:sz w:val="28"/>
                                <w:szCs w:val="28"/>
                              </w:rPr>
                            </w:pPr>
                            <w:r w:rsidRPr="003368F4">
                              <w:rPr>
                                <w:rFonts w:ascii="Titillium" w:hAnsi="Titillium"/>
                                <w:color w:val="00B0F0"/>
                                <w:sz w:val="28"/>
                                <w:szCs w:val="28"/>
                                <w:lang w:val="fr"/>
                              </w:rPr>
                              <w:t>19 juillet 2022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C612F" id="_x0000_t202" coordsize="21600,21600" o:spt="202" path="m,l,21600r21600,l21600,xe">
                <v:stroke joinstyle="miter"/>
                <v:path gradientshapeok="t" o:connecttype="rect"/>
              </v:shapetype>
              <v:shape id="Text Box 2" o:spid="_x0000_s1026" type="#_x0000_t202" style="position:absolute;margin-left:48pt;margin-top:-6.85pt;width:373.5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" filled="f" stroked="f">
                <v:textbox inset=",0,,0">
                  <w:txbxContent>
                    <w:p w14:paraId="1E63CE02" w14:textId="77777777" w:rsidR="00390093" w:rsidRPr="003368F4" w:rsidRDefault="004F79DD" w:rsidP="00390093">
                      <w:pPr>
                        <w:rPr>
                          <w:rFonts w:ascii="Titillium" w:hAnsi="Titillium"/>
                          <w:color w:val="00B0F0"/>
                          <w:sz w:val="28"/>
                          <w:szCs w:val="28"/>
                        </w:rPr>
                      </w:pPr>
                      <w:r w:rsidRPr="003368F4">
                        <w:rPr>
                          <w:rFonts w:ascii="Titillium" w:hAnsi="Titillium"/>
                          <w:color w:val="00B0F0"/>
                          <w:sz w:val="28"/>
                          <w:szCs w:val="28"/>
                          <w:lang w:val="fr"/>
                        </w:rPr>
                        <w:t>19 juillet 2022</w:t>
                      </w:r>
                    </w:p>
                  </w:txbxContent>
                </v:textbox>
                <w10:wrap type="topAndBottom" anchorx="page" anchory="margin"/>
              </v:shape>
            </w:pict>
          </mc:Fallback>
        </mc:AlternateContent>
      </w:r>
      <w:r w:rsidRPr="004F79DD">
        <w:rPr>
          <w:noProof/>
          <w:lang w:val="fr-FR" w:eastAsia="de-DE"/>
        </w:rPr>
        <mc:AlternateContent>
          <mc:Choice Requires="wps">
            <w:drawing>
              <wp:anchor distT="0" distB="0" distL="114300" distR="114300" simplePos="0" relativeHeight="251659264" behindDoc="1" locked="0" layoutInCell="1" allowOverlap="1" wp14:anchorId="4F663CD2" wp14:editId="5C016FB1">
                <wp:simplePos x="0" y="0"/>
                <wp:positionH relativeFrom="page">
                  <wp:posOffset>609600</wp:posOffset>
                </wp:positionH>
                <wp:positionV relativeFrom="page">
                  <wp:posOffset>1257301</wp:posOffset>
                </wp:positionV>
                <wp:extent cx="6313805" cy="285750"/>
                <wp:effectExtent l="0" t="0" r="0" b="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2CE65" w14:textId="77777777" w:rsidR="00390093" w:rsidRPr="003368F4" w:rsidRDefault="004F79DD" w:rsidP="00390093">
                            <w:pPr>
                              <w:rPr>
                                <w:rFonts w:ascii="Titillium" w:hAnsi="Titillium"/>
                                <w:color w:val="00B0F0"/>
                                <w:sz w:val="40"/>
                                <w:szCs w:val="40"/>
                              </w:rPr>
                            </w:pPr>
                            <w:r w:rsidRPr="003368F4">
                              <w:rPr>
                                <w:rFonts w:ascii="Titillium" w:hAnsi="Titillium"/>
                                <w:color w:val="00B0F0"/>
                                <w:sz w:val="40"/>
                                <w:szCs w:val="40"/>
                                <w:lang w:val="fr"/>
                              </w:rPr>
                              <w:t>Communiqué de presse</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663CD2" id="Text Box 1" o:spid="_x0000_s1027" type="#_x0000_t202" style="position:absolute;margin-left:48pt;margin-top:99pt;width:497.15pt;height: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" filled="f" stroked="f">
                <v:textbox inset=",0,,0">
                  <w:txbxContent>
                    <w:p w14:paraId="5DD2CE65" w14:textId="77777777" w:rsidR="00390093" w:rsidRPr="003368F4" w:rsidRDefault="004F79DD" w:rsidP="00390093">
                      <w:pPr>
                        <w:rPr>
                          <w:rFonts w:ascii="Titillium" w:hAnsi="Titillium"/>
                          <w:color w:val="00B0F0"/>
                          <w:sz w:val="40"/>
                          <w:szCs w:val="40"/>
                        </w:rPr>
                      </w:pPr>
                      <w:r w:rsidRPr="003368F4">
                        <w:rPr>
                          <w:rFonts w:ascii="Titillium" w:hAnsi="Titillium"/>
                          <w:color w:val="00B0F0"/>
                          <w:sz w:val="40"/>
                          <w:szCs w:val="40"/>
                          <w:lang w:val="fr"/>
                        </w:rPr>
                        <w:t>Communiqué de presse</w:t>
                      </w:r>
                    </w:p>
                  </w:txbxContent>
                </v:textbox>
                <w10:wrap type="topAndBottom" anchorx="page" anchory="page"/>
              </v:shape>
            </w:pict>
          </mc:Fallback>
        </mc:AlternateContent>
      </w:r>
    </w:p>
    <w:p w14:paraId="191F0744" w14:textId="77777777" w:rsidR="00952E4E" w:rsidRPr="004F79DD" w:rsidRDefault="004F79DD" w:rsidP="0085309C">
      <w:pPr>
        <w:spacing w:after="0"/>
        <w:rPr>
          <w:rFonts w:ascii="Verdana" w:hAnsi="Verdana"/>
          <w:sz w:val="34"/>
          <w:szCs w:val="34"/>
          <w:lang w:val="fr-FR"/>
        </w:rPr>
      </w:pPr>
      <w:r w:rsidRPr="004F79DD">
        <w:rPr>
          <w:rFonts w:ascii="Verdana" w:hAnsi="Verdana"/>
          <w:sz w:val="34"/>
          <w:szCs w:val="34"/>
          <w:lang w:val="fr-FR"/>
        </w:rPr>
        <w:t>Un système couvrant l'ensemble du cycle de vie des sous-stations</w:t>
      </w:r>
    </w:p>
    <w:p w14:paraId="566677CB" w14:textId="77777777" w:rsidR="00952E4E" w:rsidRPr="004F79DD" w:rsidRDefault="004F79DD" w:rsidP="0085309C">
      <w:pPr>
        <w:spacing w:after="0"/>
        <w:rPr>
          <w:rFonts w:ascii="Verdana" w:hAnsi="Verdana"/>
          <w:b/>
          <w:bCs/>
          <w:sz w:val="20"/>
          <w:szCs w:val="20"/>
          <w:lang w:val="fr-FR"/>
        </w:rPr>
      </w:pPr>
      <w:r w:rsidRPr="004F79DD">
        <w:rPr>
          <w:rFonts w:ascii="Verdana" w:hAnsi="Verdana"/>
          <w:b/>
          <w:bCs/>
          <w:sz w:val="20"/>
          <w:szCs w:val="20"/>
          <w:lang w:val="fr-FR"/>
        </w:rPr>
        <w:t>Cigre 2022 : Aucotec présente sa plateforme d'ingénierie, qui va du schéma unifilaire à la maintenance</w:t>
      </w:r>
    </w:p>
    <w:p w14:paraId="340E9A83" w14:textId="77777777" w:rsidR="00952E4E" w:rsidRPr="004F79DD" w:rsidRDefault="00952E4E" w:rsidP="0085309C">
      <w:pPr>
        <w:spacing w:after="0"/>
        <w:rPr>
          <w:rFonts w:ascii="Verdana" w:hAnsi="Verdana"/>
          <w:sz w:val="20"/>
          <w:szCs w:val="20"/>
          <w:lang w:val="fr-FR"/>
        </w:rPr>
      </w:pPr>
    </w:p>
    <w:p w14:paraId="2F4A5F6B" w14:textId="77777777" w:rsidR="00F25007" w:rsidRPr="004F79DD" w:rsidRDefault="004F79DD" w:rsidP="00170FD8">
      <w:pPr>
        <w:spacing w:after="0" w:line="274" w:lineRule="auto"/>
        <w:rPr>
          <w:rFonts w:ascii="Verdana" w:hAnsi="Verdana"/>
          <w:sz w:val="18"/>
          <w:szCs w:val="18"/>
          <w:lang w:val="fr-FR"/>
        </w:rPr>
      </w:pPr>
      <w:r w:rsidRPr="004F79DD">
        <w:rPr>
          <w:rFonts w:ascii="Verdana" w:hAnsi="Verdana"/>
          <w:sz w:val="18"/>
          <w:szCs w:val="18"/>
          <w:lang w:val="fr-FR"/>
        </w:rPr>
        <w:t>Lors du congrès parisien du Cigre, le Conseil international des grands réseaux électriques, qui se tient du 28/08 au 02/09/22, le développeur de logiciels Aucotec présente son concept d'ingénierie complet pour le secteur de la distribution d'énergie. Engineering Base (EB), sa plateforme collaborative, couvre l'ensemble du flux de travail de l'ingénierie des sous-stations, depuis l'idée initiale du projet jusqu'à l'assistance à la maintenance après la mise en service, en passant par la conception et la planification détaillée.</w:t>
      </w:r>
    </w:p>
    <w:p w14:paraId="533B5ED1" w14:textId="77777777" w:rsidR="00823EC8" w:rsidRPr="004F79DD" w:rsidRDefault="00823EC8" w:rsidP="00170FD8">
      <w:pPr>
        <w:spacing w:after="0" w:line="274" w:lineRule="auto"/>
        <w:rPr>
          <w:rFonts w:ascii="Verdana" w:hAnsi="Verdana"/>
          <w:sz w:val="18"/>
          <w:szCs w:val="18"/>
          <w:lang w:val="fr-FR"/>
        </w:rPr>
      </w:pPr>
    </w:p>
    <w:p w14:paraId="27B154B0" w14:textId="77777777" w:rsidR="00D52D4C" w:rsidRPr="004F79DD" w:rsidRDefault="004F79DD" w:rsidP="00170FD8">
      <w:pPr>
        <w:spacing w:after="0" w:line="274" w:lineRule="auto"/>
        <w:rPr>
          <w:rFonts w:ascii="Verdana" w:hAnsi="Verdana"/>
          <w:b/>
          <w:bCs/>
          <w:sz w:val="18"/>
          <w:szCs w:val="18"/>
          <w:lang w:val="fr-FR"/>
        </w:rPr>
      </w:pPr>
      <w:r w:rsidRPr="004F79DD">
        <w:rPr>
          <w:rFonts w:ascii="Verdana" w:hAnsi="Verdana"/>
          <w:b/>
          <w:bCs/>
          <w:sz w:val="18"/>
          <w:szCs w:val="18"/>
          <w:lang w:val="fr-FR"/>
        </w:rPr>
        <w:t>Un schéma unifilaire accessible à tous</w:t>
      </w:r>
    </w:p>
    <w:p w14:paraId="590AB8D4" w14:textId="77777777" w:rsidR="00DA6B2E" w:rsidRPr="004F79DD" w:rsidRDefault="004F79DD" w:rsidP="00170FD8">
      <w:pPr>
        <w:spacing w:after="0" w:line="274" w:lineRule="auto"/>
        <w:rPr>
          <w:rFonts w:ascii="Verdana" w:hAnsi="Verdana"/>
          <w:sz w:val="18"/>
          <w:szCs w:val="18"/>
          <w:lang w:val="fr-FR"/>
        </w:rPr>
      </w:pPr>
      <w:r w:rsidRPr="004F79DD">
        <w:rPr>
          <w:rFonts w:ascii="Verdana" w:hAnsi="Verdana"/>
          <w:sz w:val="18"/>
          <w:szCs w:val="18"/>
          <w:lang w:val="fr-FR"/>
        </w:rPr>
        <w:t>Tout projet EB commence par un schéma unifilaire, un document de base important dans lequel sont définis les appareils de la technique primaire. Jusqu'à présent, les expertes et experts de cette discipline développaient le schéma dans un outil dédié, puis transmettaient une liste d'appareils, parfois aussi un fichier DWG, aux spécialistes de la technique secondaire. Ceux-ci devaient alors reconstruire le schéma unifilaire dans EB, où un modèle intelligent de l'ensemble de l'installation est créé grâce à la centralisation des données. « S'épargner du travail en double devient facile si l'équipe de technique primaire utilise également EB. Nos gros clients le demandent tout particulièrement, et cela devient possible pour la première fois dans la plateforme », explique Michaela Imbusch, responsable produit chez Aucotec. Les techniciens secondaires peuvent ainsi commencer leur planification détaillée beaucoup plus rapidement, et surtout directement une fois le premier appareil défini, et non pas seulement lorsque la planification primaire est terminée. Aucotec, expert en ingénierie 2D, montre la proximité avec cette discipline de manière très visible au congrès Cigre : l'entreprise se présente avec à ses côtés, sans la cloison habituelle, la société Entegra GmbH, dont le système 3D Primtech dispose d'un couplage avec EB déjà opérationnel. Celui-ci sera également présenté à Paris avec ses différentes possibilités et synergies.</w:t>
      </w:r>
    </w:p>
    <w:p w14:paraId="0B619581" w14:textId="77777777" w:rsidR="00DA6B2E" w:rsidRPr="004F79DD" w:rsidRDefault="00DA6B2E" w:rsidP="00170FD8">
      <w:pPr>
        <w:spacing w:after="0" w:line="274" w:lineRule="auto"/>
        <w:rPr>
          <w:rFonts w:ascii="Verdana" w:hAnsi="Verdana"/>
          <w:sz w:val="18"/>
          <w:szCs w:val="18"/>
          <w:lang w:val="fr-FR"/>
        </w:rPr>
      </w:pPr>
    </w:p>
    <w:p w14:paraId="39B12C56" w14:textId="77777777" w:rsidR="00DA6B2E" w:rsidRPr="004F79DD" w:rsidRDefault="004F79DD" w:rsidP="00170FD8">
      <w:pPr>
        <w:spacing w:after="0" w:line="274" w:lineRule="auto"/>
        <w:rPr>
          <w:rFonts w:ascii="Verdana" w:hAnsi="Verdana"/>
          <w:b/>
          <w:bCs/>
          <w:sz w:val="18"/>
          <w:szCs w:val="18"/>
          <w:lang w:val="fr-FR"/>
        </w:rPr>
      </w:pPr>
      <w:r w:rsidRPr="004F79DD">
        <w:rPr>
          <w:rFonts w:ascii="Verdana" w:hAnsi="Verdana"/>
          <w:b/>
          <w:bCs/>
          <w:sz w:val="18"/>
          <w:szCs w:val="18"/>
          <w:lang w:val="fr-FR"/>
        </w:rPr>
        <w:t>À jour toute une vie durant</w:t>
      </w:r>
    </w:p>
    <w:p w14:paraId="5CFEBB1A" w14:textId="77777777" w:rsidR="00DA6B2E" w:rsidRPr="004F79DD" w:rsidRDefault="004F79DD" w:rsidP="00170FD8">
      <w:pPr>
        <w:spacing w:after="0" w:line="274" w:lineRule="auto"/>
        <w:rPr>
          <w:rFonts w:ascii="Verdana" w:hAnsi="Verdana"/>
          <w:sz w:val="18"/>
          <w:szCs w:val="18"/>
          <w:lang w:val="fr-FR"/>
        </w:rPr>
      </w:pPr>
      <w:r w:rsidRPr="004F79DD">
        <w:rPr>
          <w:rFonts w:ascii="Verdana" w:hAnsi="Verdana"/>
          <w:sz w:val="18"/>
          <w:szCs w:val="18"/>
          <w:lang w:val="fr-FR"/>
        </w:rPr>
        <w:t>EB devenant une « source unique de vérité » pour tous les participants au projet, un autre thème majeur est sa capacité à rassembler les données au sein d'un jumeau complet de l'installation et à le maintenir constamment à jour. Cela permet aux planificateurs et aux exploitants de maîtriser l'impressionnante augmentation du volume des projets dans le secteur de l'énergie. Toutes les disciplines ont accès au modèle de données, y compris les équipes de la technique de protection et des systèmes de commande, et chaque ajout ou modification spécifique est immédiatement visible et modifiable par tous. « Une mise à jour rigoureuse est obtenue sans attente, coordination ou transmission manuelle, ni les efforts et erreurs associés », explique Michaela Imbusch. EB centralisant toutes les connaissances sur les installations, il est également précieux pour la maintenance. Grâce aux possibilités simples de renvoi de données de modification à EB, par exemple depuis un appareil mobile ou un service web, à tout moment et en tout lieu, la valeur apportée est maintenue pendant toute la durée de vie de l'installation.</w:t>
      </w:r>
    </w:p>
    <w:p w14:paraId="335CC8CF" w14:textId="77777777" w:rsidR="00A6156F" w:rsidRPr="004F79DD" w:rsidRDefault="00A6156F" w:rsidP="00170FD8">
      <w:pPr>
        <w:spacing w:after="0" w:line="274" w:lineRule="auto"/>
        <w:rPr>
          <w:rFonts w:ascii="Verdana" w:hAnsi="Verdana"/>
          <w:sz w:val="18"/>
          <w:szCs w:val="18"/>
          <w:lang w:val="fr-FR"/>
        </w:rPr>
      </w:pPr>
    </w:p>
    <w:p w14:paraId="09908A6A" w14:textId="77777777" w:rsidR="00A6156F" w:rsidRPr="004F79DD" w:rsidRDefault="004F79DD" w:rsidP="00170FD8">
      <w:pPr>
        <w:spacing w:after="0" w:line="274" w:lineRule="auto"/>
        <w:rPr>
          <w:rFonts w:ascii="Verdana" w:hAnsi="Verdana"/>
          <w:b/>
          <w:bCs/>
          <w:sz w:val="18"/>
          <w:szCs w:val="18"/>
          <w:lang w:val="fr-FR"/>
        </w:rPr>
      </w:pPr>
      <w:r w:rsidRPr="004F79DD">
        <w:rPr>
          <w:rFonts w:ascii="Verdana" w:hAnsi="Verdana"/>
          <w:b/>
          <w:bCs/>
          <w:sz w:val="18"/>
          <w:szCs w:val="18"/>
          <w:lang w:val="fr-FR"/>
        </w:rPr>
        <w:t>Une application des normes unique</w:t>
      </w:r>
    </w:p>
    <w:p w14:paraId="091AB67D" w14:textId="77777777" w:rsidR="00537236" w:rsidRPr="004F79DD" w:rsidRDefault="004F79DD" w:rsidP="00466282">
      <w:pPr>
        <w:spacing w:after="0" w:line="274" w:lineRule="auto"/>
        <w:rPr>
          <w:rFonts w:ascii="Verdana" w:hAnsi="Verdana"/>
          <w:sz w:val="18"/>
          <w:szCs w:val="18"/>
          <w:lang w:val="fr-FR"/>
        </w:rPr>
      </w:pPr>
      <w:r w:rsidRPr="004F79DD">
        <w:rPr>
          <w:rFonts w:ascii="Verdana" w:hAnsi="Verdana"/>
          <w:sz w:val="18"/>
          <w:szCs w:val="18"/>
          <w:lang w:val="fr-FR"/>
        </w:rPr>
        <w:t xml:space="preserve">Par ailleurs, la plateforme EB permet aux utilisateurs non seulement de définir des normes propres à l'entreprise dans des modules orientés fonction, utilisés comme base pour la configuration de l'installation quasiment en appuyant sur un bouton, mais c'est également le seul système capable d'appliquer dans les moindres détails toutes les normes internationales requises, des normes CEI 81346 et 81355 sur la structure des installations et des documents à la future norme RDS PS, en </w:t>
      </w:r>
      <w:r w:rsidRPr="004F79DD">
        <w:rPr>
          <w:rFonts w:ascii="Verdana" w:hAnsi="Verdana"/>
          <w:sz w:val="18"/>
          <w:szCs w:val="18"/>
          <w:lang w:val="fr-FR"/>
        </w:rPr>
        <w:lastRenderedPageBreak/>
        <w:t>passant par la norme 61850 sur la description et la communication des appareils dans les sous-stations. « La norme CEI 61850 est actuellement un vrai sujet de préoccupation pour tous les distributeurs d'énergie. L'application de cette norme à l'aide du logiciel EB a déjà convaincu de nombreuses personnes intéressées. Nous comptons bien mener de nombreuses conversations sur le sujet également au Cigre », indique la responsable produit.</w:t>
      </w:r>
    </w:p>
    <w:p w14:paraId="60D792CE" w14:textId="77777777" w:rsidR="00E045EA" w:rsidRPr="004F79DD" w:rsidRDefault="00E045EA" w:rsidP="00466282">
      <w:pPr>
        <w:spacing w:after="0" w:line="274" w:lineRule="auto"/>
        <w:rPr>
          <w:rFonts w:ascii="Verdana" w:hAnsi="Verdana"/>
          <w:b/>
          <w:bCs/>
          <w:sz w:val="18"/>
          <w:szCs w:val="18"/>
          <w:lang w:val="fr-FR"/>
        </w:rPr>
      </w:pPr>
    </w:p>
    <w:p w14:paraId="408F9F85" w14:textId="5164532D" w:rsidR="00D51165" w:rsidRDefault="004F79DD" w:rsidP="00D51165">
      <w:pPr>
        <w:spacing w:after="0" w:line="273" w:lineRule="auto"/>
        <w:rPr>
          <w:rFonts w:ascii="Verdana" w:hAnsi="Verdana"/>
          <w:b/>
          <w:bCs/>
          <w:sz w:val="18"/>
          <w:szCs w:val="18"/>
          <w:lang w:val="fr-FR"/>
        </w:rPr>
      </w:pPr>
      <w:r w:rsidRPr="004F79DD">
        <w:rPr>
          <w:rFonts w:ascii="Verdana" w:hAnsi="Verdana"/>
          <w:sz w:val="18"/>
          <w:szCs w:val="18"/>
          <w:lang w:val="fr-FR"/>
        </w:rPr>
        <w:t xml:space="preserve">Aucotec au </w:t>
      </w:r>
      <w:proofErr w:type="spellStart"/>
      <w:r w:rsidRPr="004F79DD">
        <w:rPr>
          <w:rFonts w:ascii="Verdana" w:hAnsi="Verdana"/>
          <w:sz w:val="18"/>
          <w:szCs w:val="18"/>
          <w:lang w:val="fr-FR"/>
        </w:rPr>
        <w:t>Cigre</w:t>
      </w:r>
      <w:proofErr w:type="spellEnd"/>
      <w:r w:rsidRPr="004F79DD">
        <w:rPr>
          <w:rFonts w:ascii="Verdana" w:hAnsi="Verdana"/>
          <w:sz w:val="18"/>
          <w:szCs w:val="18"/>
          <w:lang w:val="fr-FR"/>
        </w:rPr>
        <w:t> :</w:t>
      </w:r>
      <w:r w:rsidRPr="004F79DD">
        <w:rPr>
          <w:rFonts w:ascii="Verdana" w:hAnsi="Verdana"/>
          <w:b/>
          <w:bCs/>
          <w:sz w:val="18"/>
          <w:szCs w:val="18"/>
          <w:lang w:val="fr-FR"/>
        </w:rPr>
        <w:t xml:space="preserve"> </w:t>
      </w:r>
      <w:r w:rsidR="00D51165">
        <w:rPr>
          <w:rFonts w:ascii="Verdana" w:hAnsi="Verdana"/>
          <w:b/>
          <w:bCs/>
          <w:sz w:val="18"/>
          <w:szCs w:val="18"/>
          <w:lang w:val="fr-FR"/>
        </w:rPr>
        <w:t>Palais des Congrès, S132 B (</w:t>
      </w:r>
      <w:proofErr w:type="spellStart"/>
      <w:r w:rsidR="00D51165">
        <w:rPr>
          <w:rFonts w:ascii="Verdana" w:hAnsi="Verdana"/>
          <w:b/>
          <w:bCs/>
          <w:sz w:val="18"/>
          <w:szCs w:val="18"/>
          <w:lang w:val="fr-FR"/>
        </w:rPr>
        <w:t>Level</w:t>
      </w:r>
      <w:proofErr w:type="spellEnd"/>
      <w:r w:rsidR="00D51165">
        <w:rPr>
          <w:rFonts w:ascii="Verdana" w:hAnsi="Verdana"/>
          <w:b/>
          <w:bCs/>
          <w:sz w:val="18"/>
          <w:szCs w:val="18"/>
          <w:lang w:val="fr-FR"/>
        </w:rPr>
        <w:t xml:space="preserve"> 1)</w:t>
      </w:r>
    </w:p>
    <w:p w14:paraId="162D6F78" w14:textId="60E7787F" w:rsidR="008649F2" w:rsidRDefault="008649F2" w:rsidP="00335CF8">
      <w:pPr>
        <w:spacing w:after="0" w:line="274" w:lineRule="auto"/>
        <w:rPr>
          <w:rFonts w:ascii="Verdana" w:hAnsi="Verdana"/>
          <w:b/>
          <w:bCs/>
          <w:sz w:val="18"/>
          <w:szCs w:val="18"/>
          <w:lang w:val="fr-FR"/>
        </w:rPr>
      </w:pPr>
    </w:p>
    <w:p w14:paraId="3BAD8803" w14:textId="77777777" w:rsidR="00335CF8" w:rsidRPr="004F79DD" w:rsidRDefault="00335CF8" w:rsidP="00335CF8">
      <w:pPr>
        <w:spacing w:after="0" w:line="274" w:lineRule="auto"/>
        <w:rPr>
          <w:rFonts w:ascii="Verdana" w:hAnsi="Verdana"/>
          <w:b/>
          <w:sz w:val="18"/>
          <w:szCs w:val="18"/>
          <w:lang w:val="fr-FR"/>
        </w:rPr>
      </w:pPr>
    </w:p>
    <w:p w14:paraId="681A140D" w14:textId="77777777" w:rsidR="00821775" w:rsidRPr="003368F4" w:rsidRDefault="004F79DD" w:rsidP="008649F2">
      <w:pPr>
        <w:spacing w:after="0"/>
        <w:rPr>
          <w:rFonts w:ascii="Verdana" w:hAnsi="Verdana" w:cs="Draeger San"/>
          <w:sz w:val="16"/>
          <w:szCs w:val="16"/>
          <w:lang w:val="fr-FR"/>
        </w:rPr>
      </w:pPr>
      <w:r w:rsidRPr="003368F4">
        <w:rPr>
          <w:rFonts w:ascii="Verdana" w:hAnsi="Verdana"/>
          <w:b/>
          <w:sz w:val="18"/>
          <w:szCs w:val="18"/>
          <w:lang w:val="fr-FR"/>
        </w:rPr>
        <w:t>Liens vers les visuels* :</w:t>
      </w:r>
    </w:p>
    <w:p w14:paraId="0D38BCC5" w14:textId="665FC1C9" w:rsidR="00615752" w:rsidRPr="003368F4" w:rsidRDefault="004F79DD" w:rsidP="003368F4">
      <w:pPr>
        <w:spacing w:after="0"/>
        <w:rPr>
          <w:rFonts w:ascii="Verdana" w:hAnsi="Verdana" w:cs="Draeger San"/>
          <w:sz w:val="16"/>
          <w:szCs w:val="16"/>
          <w:lang w:val="fr-FR"/>
        </w:rPr>
      </w:pPr>
      <w:r w:rsidRPr="003368F4">
        <w:rPr>
          <w:rFonts w:ascii="Verdana" w:hAnsi="Verdana" w:cs="Draeger San"/>
          <w:noProof/>
          <w:sz w:val="16"/>
          <w:szCs w:val="16"/>
          <w:lang w:val="fr-FR"/>
        </w:rPr>
        <w:drawing>
          <wp:anchor distT="0" distB="0" distL="114300" distR="114300" simplePos="0" relativeHeight="251662336" behindDoc="0" locked="0" layoutInCell="1" allowOverlap="1" wp14:anchorId="3850A9B6" wp14:editId="6A37E171">
            <wp:simplePos x="0" y="0"/>
            <wp:positionH relativeFrom="column">
              <wp:posOffset>3810</wp:posOffset>
            </wp:positionH>
            <wp:positionV relativeFrom="paragraph">
              <wp:posOffset>-635</wp:posOffset>
            </wp:positionV>
            <wp:extent cx="1337310" cy="946582"/>
            <wp:effectExtent l="0" t="0" r="0" b="6350"/>
            <wp:wrapSquare wrapText="bothSides"/>
            <wp:docPr id="14" name="Picture 13" descr="Diagram, engineering drawing&#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8427F36C-2927-40EA-91A2-CDB16E94D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Diagram, engineering drawing&#10;&#10;Description automatically generated">
                      <a:hlinkClick r:id="rId7"/>
                      <a:extLst>
                        <a:ext uri="{FF2B5EF4-FFF2-40B4-BE49-F238E27FC236}">
                          <a16:creationId xmlns:a16="http://schemas.microsoft.com/office/drawing/2014/main" id="{8427F36C-2927-40EA-91A2-CDB16E94D686}"/>
                        </a:ext>
                      </a:extLst>
                    </pic:cNvPr>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337310" cy="946582"/>
                    </a:xfrm>
                    <a:prstGeom prst="rect">
                      <a:avLst/>
                    </a:prstGeom>
                  </pic:spPr>
                </pic:pic>
              </a:graphicData>
            </a:graphic>
            <wp14:sizeRelH relativeFrom="page">
              <wp14:pctWidth>0</wp14:pctWidth>
            </wp14:sizeRelH>
            <wp14:sizeRelV relativeFrom="page">
              <wp14:pctHeight>0</wp14:pctHeight>
            </wp14:sizeRelV>
          </wp:anchor>
        </w:drawing>
      </w:r>
    </w:p>
    <w:p w14:paraId="54AE869D" w14:textId="7CD09BD7" w:rsidR="005501F2" w:rsidRDefault="00D51165" w:rsidP="003368F4">
      <w:pPr>
        <w:spacing w:after="0"/>
        <w:rPr>
          <w:rFonts w:ascii="Verdana" w:hAnsi="Verdana"/>
          <w:sz w:val="16"/>
          <w:szCs w:val="16"/>
          <w:lang w:val="fr-FR"/>
        </w:rPr>
      </w:pPr>
      <w:hyperlink r:id="rId9" w:history="1">
        <w:r w:rsidR="004F79DD" w:rsidRPr="00AD6670">
          <w:rPr>
            <w:rStyle w:val="Hyperlink"/>
            <w:rFonts w:ascii="Verdana" w:hAnsi="Verdana" w:cs="Draeger San"/>
            <w:sz w:val="16"/>
            <w:szCs w:val="16"/>
            <w:lang w:val="fr-FR"/>
          </w:rPr>
          <w:t>Le schéma unifilaire dans Engineering Base</w:t>
        </w:r>
      </w:hyperlink>
      <w:r w:rsidR="004F79DD" w:rsidRPr="003368F4">
        <w:rPr>
          <w:rFonts w:ascii="Verdana" w:hAnsi="Verdana" w:cs="Draeger San"/>
          <w:sz w:val="16"/>
          <w:szCs w:val="16"/>
          <w:lang w:val="fr-FR"/>
        </w:rPr>
        <w:t xml:space="preserve"> : s'épargner du travail en double devient facile si l'équipe de technique primaire utilise également EB. Cela permet de faire grandir le jumeau numérique dès le début. </w:t>
      </w:r>
      <w:r w:rsidR="008649F2" w:rsidRPr="003368F4">
        <w:rPr>
          <w:rFonts w:ascii="Verdana" w:hAnsi="Verdana"/>
          <w:sz w:val="16"/>
          <w:szCs w:val="16"/>
          <w:lang w:val="fr-FR"/>
        </w:rPr>
        <w:t>(Image : Aucotec AG)</w:t>
      </w:r>
    </w:p>
    <w:p w14:paraId="69F7879B" w14:textId="581A32ED" w:rsidR="00335CF8" w:rsidRDefault="00335CF8" w:rsidP="003368F4">
      <w:pPr>
        <w:spacing w:after="0"/>
        <w:rPr>
          <w:rFonts w:ascii="Verdana" w:hAnsi="Verdana"/>
          <w:sz w:val="16"/>
          <w:szCs w:val="16"/>
          <w:lang w:val="fr-FR"/>
        </w:rPr>
      </w:pPr>
    </w:p>
    <w:p w14:paraId="0020A457" w14:textId="7F4D42D7" w:rsidR="00335CF8" w:rsidRDefault="00335CF8" w:rsidP="003368F4">
      <w:pPr>
        <w:spacing w:after="0"/>
        <w:rPr>
          <w:rFonts w:ascii="Verdana" w:hAnsi="Verdana"/>
          <w:sz w:val="16"/>
          <w:szCs w:val="16"/>
          <w:lang w:val="fr-FR"/>
        </w:rPr>
      </w:pPr>
    </w:p>
    <w:p w14:paraId="520A3CE0" w14:textId="6DCE2E85" w:rsidR="00335CF8" w:rsidRDefault="00335CF8" w:rsidP="003368F4">
      <w:pPr>
        <w:spacing w:after="0"/>
        <w:rPr>
          <w:rFonts w:ascii="Verdana" w:hAnsi="Verdana"/>
          <w:sz w:val="16"/>
          <w:szCs w:val="16"/>
          <w:lang w:val="fr-FR"/>
        </w:rPr>
      </w:pPr>
    </w:p>
    <w:p w14:paraId="466F25F4" w14:textId="77777777" w:rsidR="00615752" w:rsidRPr="003368F4" w:rsidRDefault="00615752" w:rsidP="003368F4">
      <w:pPr>
        <w:spacing w:after="0"/>
        <w:rPr>
          <w:rFonts w:ascii="Verdana" w:hAnsi="Verdana" w:cs="Draeger San"/>
          <w:sz w:val="16"/>
          <w:szCs w:val="16"/>
          <w:lang w:val="fr-FR"/>
        </w:rPr>
      </w:pPr>
    </w:p>
    <w:p w14:paraId="33DAA7AF" w14:textId="77777777" w:rsidR="003368F4" w:rsidRDefault="003368F4" w:rsidP="003368F4">
      <w:pPr>
        <w:spacing w:after="0"/>
        <w:rPr>
          <w:rFonts w:ascii="Verdana" w:hAnsi="Verdana" w:cs="Draeger San"/>
          <w:sz w:val="16"/>
          <w:szCs w:val="16"/>
          <w:lang w:val="fr-FR"/>
        </w:rPr>
      </w:pPr>
      <w:r>
        <w:rPr>
          <w:noProof/>
        </w:rPr>
        <w:drawing>
          <wp:anchor distT="0" distB="0" distL="114300" distR="114300" simplePos="0" relativeHeight="251663360" behindDoc="0" locked="0" layoutInCell="1" allowOverlap="1" wp14:anchorId="3647860C" wp14:editId="69D4DCC8">
            <wp:simplePos x="0" y="0"/>
            <wp:positionH relativeFrom="column">
              <wp:posOffset>3810</wp:posOffset>
            </wp:positionH>
            <wp:positionV relativeFrom="paragraph">
              <wp:posOffset>0</wp:posOffset>
            </wp:positionV>
            <wp:extent cx="1433561" cy="868045"/>
            <wp:effectExtent l="0" t="0" r="0" b="8255"/>
            <wp:wrapSquare wrapText="bothSides"/>
            <wp:docPr id="12" name="Grafik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0"/>
                    </pic:cNvPr>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1433561"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501F2" w:rsidRPr="003368F4">
        <w:rPr>
          <w:rFonts w:ascii="Verdana" w:hAnsi="Verdana" w:cs="Draeger San"/>
          <w:sz w:val="16"/>
          <w:szCs w:val="16"/>
          <w:lang w:val="fr-FR"/>
        </w:rPr>
        <w:t xml:space="preserve"> </w:t>
      </w:r>
      <w:bookmarkStart w:id="0" w:name="_Hlk108610880"/>
    </w:p>
    <w:p w14:paraId="46DA0113" w14:textId="75BA6613" w:rsidR="008649F2" w:rsidRDefault="00D51165" w:rsidP="003368F4">
      <w:pPr>
        <w:spacing w:after="0"/>
        <w:rPr>
          <w:rFonts w:ascii="Verdana" w:hAnsi="Verdana"/>
          <w:sz w:val="16"/>
          <w:szCs w:val="16"/>
          <w:lang w:val="fr-FR"/>
        </w:rPr>
      </w:pPr>
      <w:hyperlink r:id="rId12" w:history="1">
        <w:r w:rsidR="004F79DD" w:rsidRPr="00AD6670">
          <w:rPr>
            <w:rStyle w:val="Hyperlink"/>
            <w:rFonts w:ascii="Verdana" w:hAnsi="Verdana" w:cs="Draeger San"/>
            <w:sz w:val="16"/>
            <w:szCs w:val="16"/>
            <w:lang w:val="fr-FR"/>
          </w:rPr>
          <w:t>Application unique de la norme CEI 61850</w:t>
        </w:r>
      </w:hyperlink>
      <w:r w:rsidR="004F79DD" w:rsidRPr="003368F4">
        <w:rPr>
          <w:rFonts w:ascii="Verdana" w:hAnsi="Verdana" w:cs="Draeger San"/>
          <w:sz w:val="16"/>
          <w:szCs w:val="16"/>
          <w:lang w:val="fr-FR"/>
        </w:rPr>
        <w:t> :</w:t>
      </w:r>
      <w:bookmarkEnd w:id="0"/>
      <w:r w:rsidR="004F79DD" w:rsidRPr="003368F4">
        <w:rPr>
          <w:rFonts w:ascii="Verdana" w:hAnsi="Verdana" w:cs="Draeger San"/>
          <w:sz w:val="16"/>
          <w:szCs w:val="16"/>
          <w:lang w:val="fr-FR"/>
        </w:rPr>
        <w:t xml:space="preserve"> à partir de son modèle d'installation, EB génère un fichier SCD conforme à la norme qui regroupe toutes les informations sur le modèle d'objet de l'installation, de la topologie au plan réseau. </w:t>
      </w:r>
      <w:r w:rsidR="004F79DD" w:rsidRPr="003368F4">
        <w:rPr>
          <w:rFonts w:ascii="Verdana" w:hAnsi="Verdana"/>
          <w:sz w:val="16"/>
          <w:szCs w:val="16"/>
          <w:lang w:val="fr-FR"/>
        </w:rPr>
        <w:t>(Image : Aucotec AG)</w:t>
      </w:r>
    </w:p>
    <w:p w14:paraId="2A578CB5" w14:textId="77777777" w:rsidR="003368F4" w:rsidRPr="003368F4" w:rsidRDefault="003368F4" w:rsidP="003368F4">
      <w:pPr>
        <w:spacing w:after="0"/>
        <w:rPr>
          <w:rFonts w:ascii="Verdana" w:hAnsi="Verdana"/>
          <w:sz w:val="16"/>
          <w:szCs w:val="16"/>
          <w:lang w:val="fr-FR"/>
        </w:rPr>
      </w:pPr>
    </w:p>
    <w:p w14:paraId="3468046E" w14:textId="2CC32204" w:rsidR="008649F2" w:rsidRDefault="008649F2" w:rsidP="003368F4">
      <w:pPr>
        <w:spacing w:after="0"/>
        <w:rPr>
          <w:rFonts w:ascii="Verdana" w:hAnsi="Verdana" w:cs="Draeger San"/>
          <w:color w:val="FF0000"/>
          <w:sz w:val="16"/>
          <w:szCs w:val="16"/>
          <w:lang w:val="fr-FR"/>
        </w:rPr>
      </w:pPr>
    </w:p>
    <w:p w14:paraId="54FCCC9E" w14:textId="77777777" w:rsidR="00335CF8" w:rsidRPr="004F79DD" w:rsidRDefault="00335CF8" w:rsidP="003368F4">
      <w:pPr>
        <w:spacing w:after="0"/>
        <w:rPr>
          <w:rFonts w:ascii="Verdana" w:hAnsi="Verdana" w:cs="Draeger San"/>
          <w:color w:val="FF0000"/>
          <w:sz w:val="16"/>
          <w:szCs w:val="16"/>
          <w:lang w:val="fr-FR"/>
        </w:rPr>
      </w:pPr>
    </w:p>
    <w:p w14:paraId="5F07D93B" w14:textId="77777777" w:rsidR="003368F4" w:rsidRDefault="004F79DD" w:rsidP="003368F4">
      <w:pPr>
        <w:spacing w:after="0"/>
        <w:rPr>
          <w:lang w:val="fr-FR"/>
        </w:rPr>
      </w:pPr>
      <w:r w:rsidRPr="004F79DD">
        <w:rPr>
          <w:rFonts w:ascii="Verdana" w:hAnsi="Verdana"/>
          <w:noProof/>
          <w:sz w:val="16"/>
          <w:szCs w:val="16"/>
          <w:lang w:val="fr-FR"/>
        </w:rPr>
        <w:drawing>
          <wp:anchor distT="0" distB="0" distL="114300" distR="114300" simplePos="0" relativeHeight="251664384" behindDoc="0" locked="0" layoutInCell="1" allowOverlap="1" wp14:anchorId="6F81420B" wp14:editId="709293D3">
            <wp:simplePos x="0" y="0"/>
            <wp:positionH relativeFrom="column">
              <wp:posOffset>3810</wp:posOffset>
            </wp:positionH>
            <wp:positionV relativeFrom="paragraph">
              <wp:posOffset>635</wp:posOffset>
            </wp:positionV>
            <wp:extent cx="1447800" cy="866775"/>
            <wp:effectExtent l="0" t="0" r="0" b="9525"/>
            <wp:wrapSquare wrapText="bothSides"/>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43099" name="Grafik 1"/>
                    <pic:cNvPicPr>
                      <a:picLocks noChangeAspect="1" noChangeArrowheads="1"/>
                    </pic:cNvPicPr>
                  </pic:nvPicPr>
                  <pic:blipFill>
                    <a:blip r:embed="rId14" r:link="rId15" cstate="screen">
                      <a:extLst>
                        <a:ext uri="{28A0092B-C50C-407E-A947-70E740481C1C}">
                          <a14:useLocalDpi xmlns:a14="http://schemas.microsoft.com/office/drawing/2010/main" val="0"/>
                        </a:ext>
                      </a:extLst>
                    </a:blip>
                    <a:stretch>
                      <a:fillRect/>
                    </a:stretch>
                  </pic:blipFill>
                  <pic:spPr bwMode="auto">
                    <a:xfrm>
                      <a:off x="0" y="0"/>
                      <a:ext cx="14478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1B990" w14:textId="7BBDC734" w:rsidR="00466282" w:rsidRDefault="00D51165" w:rsidP="003368F4">
      <w:pPr>
        <w:spacing w:after="0"/>
        <w:rPr>
          <w:rFonts w:ascii="Verdana" w:hAnsi="Verdana"/>
          <w:sz w:val="16"/>
          <w:szCs w:val="16"/>
          <w:lang w:val="fr-FR"/>
        </w:rPr>
      </w:pPr>
      <w:hyperlink r:id="rId16" w:history="1">
        <w:r w:rsidR="00A0140E" w:rsidRPr="004F79DD">
          <w:rPr>
            <w:rStyle w:val="Hyperlink"/>
            <w:rFonts w:ascii="Verdana" w:hAnsi="Verdana" w:cstheme="minorBidi"/>
            <w:sz w:val="16"/>
            <w:szCs w:val="16"/>
            <w:lang w:val="fr-FR"/>
          </w:rPr>
          <w:t>Conformité à la norme CEI 61850</w:t>
        </w:r>
      </w:hyperlink>
      <w:r w:rsidR="00A0140E" w:rsidRPr="004F79DD">
        <w:rPr>
          <w:rFonts w:ascii="Verdana" w:hAnsi="Verdana"/>
          <w:sz w:val="16"/>
          <w:szCs w:val="16"/>
          <w:lang w:val="fr-FR"/>
        </w:rPr>
        <w:t> : grâce à des connexions graphiques simples, les nœuds logiques des appareils se forment d'eux-mêmes dans EB. Ils constituent une partie importante de la description de la configuration (SCD), qui est « l'ADN » des sous-stations. (Image : Aucotec AG)</w:t>
      </w:r>
    </w:p>
    <w:p w14:paraId="3A9012B9" w14:textId="423E0C60" w:rsidR="003368F4" w:rsidRDefault="003368F4" w:rsidP="003368F4">
      <w:pPr>
        <w:spacing w:after="0"/>
        <w:rPr>
          <w:lang w:val="fr-FR"/>
        </w:rPr>
      </w:pPr>
    </w:p>
    <w:p w14:paraId="616D8921" w14:textId="77777777" w:rsidR="00335CF8" w:rsidRPr="003368F4" w:rsidRDefault="00335CF8" w:rsidP="003368F4">
      <w:pPr>
        <w:spacing w:after="0"/>
        <w:rPr>
          <w:lang w:val="fr-FR"/>
        </w:rPr>
      </w:pPr>
    </w:p>
    <w:p w14:paraId="1818ABB2" w14:textId="77777777" w:rsidR="000B6743" w:rsidRPr="004F79DD" w:rsidRDefault="004F79DD" w:rsidP="003368F4">
      <w:pPr>
        <w:spacing w:after="0"/>
        <w:rPr>
          <w:rFonts w:ascii="Verdana" w:hAnsi="Verdana" w:cs="Draeger San"/>
          <w:color w:val="FF0000"/>
          <w:sz w:val="16"/>
          <w:szCs w:val="16"/>
          <w:lang w:val="fr-FR"/>
        </w:rPr>
      </w:pPr>
      <w:r w:rsidRPr="004F79DD">
        <w:rPr>
          <w:noProof/>
          <w:lang w:val="fr-FR"/>
        </w:rPr>
        <w:drawing>
          <wp:anchor distT="0" distB="0" distL="114300" distR="114300" simplePos="0" relativeHeight="251665408" behindDoc="0" locked="0" layoutInCell="1" allowOverlap="1" wp14:anchorId="5050A398" wp14:editId="59216931">
            <wp:simplePos x="0" y="0"/>
            <wp:positionH relativeFrom="column">
              <wp:posOffset>3810</wp:posOffset>
            </wp:positionH>
            <wp:positionV relativeFrom="paragraph">
              <wp:posOffset>1270</wp:posOffset>
            </wp:positionV>
            <wp:extent cx="1091891" cy="1337137"/>
            <wp:effectExtent l="0" t="0" r="0" b="0"/>
            <wp:wrapSquare wrapText="bothSides"/>
            <wp:docPr id="8" name="Grafik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7"/>
                    </pic:cNvPr>
                    <pic:cNvPicPr>
                      <a:picLocks noChangeAspect="1" noChangeArrowheads="1"/>
                    </pic:cNvPicPr>
                  </pic:nvPicPr>
                  <pic:blipFill>
                    <a:blip r:embed="rId18" cstate="screen">
                      <a:extLst>
                        <a:ext uri="{28A0092B-C50C-407E-A947-70E740481C1C}">
                          <a14:useLocalDpi xmlns:a14="http://schemas.microsoft.com/office/drawing/2010/main" val="0"/>
                        </a:ext>
                      </a:extLst>
                    </a:blip>
                    <a:stretch>
                      <a:fillRect/>
                    </a:stretch>
                  </pic:blipFill>
                  <pic:spPr bwMode="auto">
                    <a:xfrm>
                      <a:off x="0" y="0"/>
                      <a:ext cx="1091891" cy="13371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F921A" w14:textId="6B8EF277" w:rsidR="008B6F2D" w:rsidRPr="004F79DD" w:rsidRDefault="00D51165" w:rsidP="003368F4">
      <w:pPr>
        <w:spacing w:after="0"/>
        <w:rPr>
          <w:rFonts w:ascii="Verdana" w:hAnsi="Verdana" w:cs="Draeger San"/>
          <w:sz w:val="16"/>
          <w:szCs w:val="16"/>
          <w:lang w:val="fr-FR"/>
        </w:rPr>
      </w:pPr>
      <w:hyperlink r:id="rId19" w:history="1">
        <w:r w:rsidR="004F79DD" w:rsidRPr="00AD6670">
          <w:rPr>
            <w:rStyle w:val="Hyperlink"/>
            <w:rFonts w:ascii="Verdana" w:hAnsi="Verdana" w:cs="Draeger San"/>
            <w:sz w:val="16"/>
            <w:szCs w:val="16"/>
            <w:lang w:val="fr-FR"/>
          </w:rPr>
          <w:t>Michaela Imbusch, responsable produit chez Aucotec</w:t>
        </w:r>
      </w:hyperlink>
      <w:r w:rsidR="004F79DD" w:rsidRPr="004F79DD">
        <w:rPr>
          <w:rFonts w:ascii="Verdana" w:hAnsi="Verdana" w:cs="Draeger San"/>
          <w:sz w:val="16"/>
          <w:szCs w:val="16"/>
          <w:lang w:val="fr-FR"/>
        </w:rPr>
        <w:t> : « Le modèle de données central d'EB rassemble toutes les informations sur les appareils ». (Image : AUCOTEC AG)</w:t>
      </w:r>
    </w:p>
    <w:p w14:paraId="0A149909" w14:textId="77777777" w:rsidR="00466282" w:rsidRPr="004F79DD" w:rsidRDefault="00466282" w:rsidP="003368F4">
      <w:pPr>
        <w:spacing w:after="0"/>
        <w:rPr>
          <w:rFonts w:ascii="Verdana" w:hAnsi="Verdana"/>
          <w:sz w:val="16"/>
          <w:szCs w:val="16"/>
          <w:lang w:val="fr-FR"/>
        </w:rPr>
      </w:pPr>
    </w:p>
    <w:p w14:paraId="6FB22A07" w14:textId="77777777" w:rsidR="00335CF8" w:rsidRDefault="00335CF8" w:rsidP="00A63359">
      <w:pPr>
        <w:spacing w:after="0" w:line="240" w:lineRule="auto"/>
        <w:rPr>
          <w:rFonts w:ascii="Verdana" w:hAnsi="Verdana"/>
          <w:sz w:val="16"/>
          <w:szCs w:val="16"/>
          <w:lang w:val="fr-FR"/>
        </w:rPr>
      </w:pPr>
    </w:p>
    <w:p w14:paraId="1730044B" w14:textId="77777777" w:rsidR="00335CF8" w:rsidRDefault="00335CF8" w:rsidP="00A63359">
      <w:pPr>
        <w:spacing w:after="0" w:line="240" w:lineRule="auto"/>
        <w:rPr>
          <w:rFonts w:ascii="Verdana" w:hAnsi="Verdana"/>
          <w:sz w:val="16"/>
          <w:szCs w:val="16"/>
          <w:lang w:val="fr-FR"/>
        </w:rPr>
      </w:pPr>
    </w:p>
    <w:p w14:paraId="23054BAF" w14:textId="77777777" w:rsidR="00335CF8" w:rsidRDefault="00335CF8" w:rsidP="00A63359">
      <w:pPr>
        <w:spacing w:after="0" w:line="240" w:lineRule="auto"/>
        <w:rPr>
          <w:rFonts w:ascii="Verdana" w:hAnsi="Verdana"/>
          <w:sz w:val="16"/>
          <w:szCs w:val="16"/>
          <w:lang w:val="fr-FR"/>
        </w:rPr>
      </w:pPr>
    </w:p>
    <w:p w14:paraId="1F7CB724" w14:textId="77777777" w:rsidR="00335CF8" w:rsidRDefault="00335CF8" w:rsidP="00A63359">
      <w:pPr>
        <w:spacing w:after="0" w:line="240" w:lineRule="auto"/>
        <w:rPr>
          <w:rFonts w:ascii="Verdana" w:hAnsi="Verdana"/>
          <w:sz w:val="16"/>
          <w:szCs w:val="16"/>
          <w:lang w:val="fr-FR"/>
        </w:rPr>
      </w:pPr>
    </w:p>
    <w:p w14:paraId="79703089" w14:textId="77777777" w:rsidR="00335CF8" w:rsidRDefault="00335CF8" w:rsidP="00A63359">
      <w:pPr>
        <w:spacing w:after="0" w:line="240" w:lineRule="auto"/>
        <w:rPr>
          <w:rFonts w:ascii="Verdana" w:hAnsi="Verdana"/>
          <w:sz w:val="16"/>
          <w:szCs w:val="16"/>
          <w:lang w:val="fr-FR"/>
        </w:rPr>
      </w:pPr>
    </w:p>
    <w:p w14:paraId="6932A858" w14:textId="77777777" w:rsidR="00335CF8" w:rsidRDefault="00335CF8" w:rsidP="00A63359">
      <w:pPr>
        <w:spacing w:after="0" w:line="240" w:lineRule="auto"/>
        <w:rPr>
          <w:rFonts w:ascii="Verdana" w:hAnsi="Verdana"/>
          <w:sz w:val="16"/>
          <w:szCs w:val="16"/>
          <w:lang w:val="fr-FR"/>
        </w:rPr>
      </w:pPr>
    </w:p>
    <w:p w14:paraId="287A1BBA" w14:textId="77777777" w:rsidR="00335CF8" w:rsidRDefault="00335CF8" w:rsidP="00A63359">
      <w:pPr>
        <w:spacing w:after="0" w:line="240" w:lineRule="auto"/>
        <w:rPr>
          <w:rFonts w:ascii="Verdana" w:hAnsi="Verdana"/>
          <w:sz w:val="16"/>
          <w:szCs w:val="16"/>
          <w:lang w:val="fr-FR"/>
        </w:rPr>
      </w:pPr>
    </w:p>
    <w:p w14:paraId="12B1096C" w14:textId="77777777" w:rsidR="00335CF8" w:rsidRDefault="00335CF8" w:rsidP="00A63359">
      <w:pPr>
        <w:spacing w:after="0" w:line="240" w:lineRule="auto"/>
        <w:rPr>
          <w:rFonts w:ascii="Verdana" w:hAnsi="Verdana"/>
          <w:sz w:val="16"/>
          <w:szCs w:val="16"/>
          <w:lang w:val="fr-FR"/>
        </w:rPr>
      </w:pPr>
    </w:p>
    <w:p w14:paraId="4A161A9A" w14:textId="6F866A83" w:rsidR="00A63359" w:rsidRPr="004F79DD" w:rsidRDefault="004F79DD" w:rsidP="00A63359">
      <w:pPr>
        <w:spacing w:after="0" w:line="240" w:lineRule="auto"/>
        <w:rPr>
          <w:rFonts w:ascii="Verdana" w:hAnsi="Verdana"/>
          <w:sz w:val="16"/>
          <w:szCs w:val="16"/>
          <w:lang w:val="fr-FR"/>
        </w:rPr>
      </w:pPr>
      <w:r w:rsidRPr="004F79DD">
        <w:rPr>
          <w:rFonts w:ascii="Verdana" w:hAnsi="Verdana"/>
          <w:sz w:val="16"/>
          <w:szCs w:val="16"/>
          <w:lang w:val="fr-FR"/>
        </w:rPr>
        <w:t xml:space="preserve">*Ces images sont protégées par le droit d’auteur. Elles peuvent être utilisées gratuitement dans le cadre du présent communiqué de presse. </w:t>
      </w:r>
    </w:p>
    <w:p w14:paraId="4D076F72" w14:textId="77777777" w:rsidR="00A63359" w:rsidRPr="004F79DD" w:rsidRDefault="00A63359" w:rsidP="00A63359">
      <w:pPr>
        <w:spacing w:after="0" w:line="240" w:lineRule="auto"/>
        <w:rPr>
          <w:rFonts w:ascii="Verdana" w:hAnsi="Verdana"/>
          <w:sz w:val="16"/>
          <w:szCs w:val="16"/>
          <w:lang w:val="fr-FR"/>
        </w:rPr>
      </w:pPr>
    </w:p>
    <w:p w14:paraId="314B38AA" w14:textId="77777777" w:rsidR="007E32B5" w:rsidRPr="004F79DD" w:rsidRDefault="004F79DD" w:rsidP="007E32B5">
      <w:pPr>
        <w:spacing w:after="0" w:line="240" w:lineRule="auto"/>
        <w:rPr>
          <w:rFonts w:ascii="Verdana" w:hAnsi="Verdana"/>
          <w:sz w:val="16"/>
          <w:szCs w:val="16"/>
          <w:lang w:val="fr-FR"/>
        </w:rPr>
      </w:pPr>
      <w:r w:rsidRPr="004F79DD">
        <w:rPr>
          <w:rFonts w:ascii="Verdana" w:hAnsi="Verdana"/>
          <w:sz w:val="16"/>
          <w:szCs w:val="16"/>
          <w:lang w:val="fr-FR"/>
        </w:rPr>
        <w:t>___________________________________________________________________________</w:t>
      </w:r>
    </w:p>
    <w:p w14:paraId="5A2EA4AE" w14:textId="77777777" w:rsidR="00335CF8" w:rsidRDefault="00335CF8" w:rsidP="007E32B5">
      <w:pPr>
        <w:spacing w:after="0" w:line="240" w:lineRule="auto"/>
        <w:rPr>
          <w:rFonts w:ascii="Verdana" w:hAnsi="Verdana"/>
          <w:sz w:val="16"/>
          <w:szCs w:val="16"/>
          <w:lang w:val="fr-FR"/>
        </w:rPr>
      </w:pPr>
    </w:p>
    <w:p w14:paraId="2DC999D7" w14:textId="3C2E603C" w:rsidR="007E32B5" w:rsidRPr="004F79DD" w:rsidRDefault="004F79DD" w:rsidP="007E32B5">
      <w:pPr>
        <w:spacing w:after="0" w:line="240" w:lineRule="auto"/>
        <w:rPr>
          <w:rFonts w:ascii="Verdana" w:hAnsi="Verdana"/>
          <w:sz w:val="16"/>
          <w:szCs w:val="16"/>
          <w:lang w:val="fr-FR"/>
        </w:rPr>
      </w:pPr>
      <w:r w:rsidRPr="004F79DD">
        <w:rPr>
          <w:rFonts w:ascii="Verdana" w:hAnsi="Verdana"/>
          <w:sz w:val="16"/>
          <w:szCs w:val="16"/>
          <w:lang w:val="fr-FR"/>
        </w:rPr>
        <w:t xml:space="preserve">Depuis plus de 35 ans, la société </w:t>
      </w:r>
      <w:hyperlink r:id="rId20" w:history="1">
        <w:r w:rsidRPr="004F79DD">
          <w:rPr>
            <w:rStyle w:val="Hyperlink"/>
            <w:rFonts w:ascii="Verdana" w:hAnsi="Verdana"/>
            <w:b/>
            <w:sz w:val="16"/>
            <w:szCs w:val="16"/>
            <w:lang w:val="fr-FR"/>
          </w:rPr>
          <w:t>Aucotec AG</w:t>
        </w:r>
      </w:hyperlink>
      <w:r w:rsidRPr="004F79DD">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à Hanovre, le groupe Aucotec comprend six autres sites en Allemagne ainsi que des filiales en Chine, en Inde, en Corée du Sud, aux Pays-Bas, en France, en Italie, en Autriche, en Pologne, en Suède, en Norvège et aux États-Unis. Un réseau international de partenaires garantit une assistance locale partout dans le monde.</w:t>
      </w:r>
    </w:p>
    <w:p w14:paraId="2A1F9CE8" w14:textId="77777777" w:rsidR="007E32B5" w:rsidRPr="004F79DD" w:rsidRDefault="007E32B5" w:rsidP="007E32B5">
      <w:pPr>
        <w:spacing w:after="0" w:line="240" w:lineRule="auto"/>
        <w:rPr>
          <w:rFonts w:ascii="Verdana" w:hAnsi="Verdana"/>
          <w:sz w:val="16"/>
          <w:szCs w:val="16"/>
          <w:lang w:val="fr-FR"/>
        </w:rPr>
      </w:pPr>
    </w:p>
    <w:p w14:paraId="3C48493C" w14:textId="77777777" w:rsidR="00335CF8" w:rsidRDefault="00335CF8" w:rsidP="007E32B5">
      <w:pPr>
        <w:spacing w:after="0" w:line="240" w:lineRule="auto"/>
        <w:rPr>
          <w:rFonts w:ascii="Verdana" w:hAnsi="Verdana"/>
          <w:sz w:val="16"/>
          <w:szCs w:val="16"/>
          <w:lang w:val="fr-FR"/>
        </w:rPr>
      </w:pPr>
    </w:p>
    <w:p w14:paraId="755D62BE" w14:textId="54898F38" w:rsidR="00335CF8" w:rsidRPr="00335CF8" w:rsidRDefault="004F79DD" w:rsidP="007E32B5">
      <w:pPr>
        <w:spacing w:after="0" w:line="240" w:lineRule="auto"/>
        <w:rPr>
          <w:rFonts w:ascii="Verdana" w:hAnsi="Verdana"/>
          <w:sz w:val="16"/>
          <w:szCs w:val="16"/>
          <w:lang w:val="fr-FR"/>
        </w:rPr>
      </w:pPr>
      <w:r w:rsidRPr="004F79DD">
        <w:rPr>
          <w:rFonts w:ascii="Verdana" w:hAnsi="Verdana"/>
          <w:sz w:val="16"/>
          <w:szCs w:val="16"/>
          <w:lang w:val="fr-FR"/>
        </w:rPr>
        <w:t>En cas de reproduction, nous demandons un exemplaire justificatif. Merci !</w:t>
      </w:r>
    </w:p>
    <w:p w14:paraId="56A1DD88" w14:textId="77777777" w:rsidR="007E32B5" w:rsidRPr="00D51165" w:rsidRDefault="004F79DD" w:rsidP="007E32B5">
      <w:pPr>
        <w:spacing w:after="0" w:line="240" w:lineRule="auto"/>
        <w:rPr>
          <w:rFonts w:ascii="Verdana" w:hAnsi="Verdana"/>
          <w:sz w:val="16"/>
          <w:szCs w:val="16"/>
          <w:lang w:val="fr-FR"/>
        </w:rPr>
      </w:pPr>
      <w:r w:rsidRPr="00D51165">
        <w:rPr>
          <w:rFonts w:ascii="Verdana" w:hAnsi="Verdana"/>
          <w:b/>
          <w:sz w:val="16"/>
          <w:szCs w:val="16"/>
          <w:lang w:val="fr-FR"/>
        </w:rPr>
        <w:t>AUCOTEC AG</w:t>
      </w:r>
      <w:r w:rsidRPr="00D51165">
        <w:rPr>
          <w:rFonts w:ascii="Verdana" w:hAnsi="Verdana"/>
          <w:sz w:val="16"/>
          <w:szCs w:val="16"/>
          <w:lang w:val="fr-FR"/>
        </w:rPr>
        <w:t xml:space="preserve">, </w:t>
      </w:r>
      <w:proofErr w:type="spellStart"/>
      <w:r w:rsidRPr="00D51165">
        <w:rPr>
          <w:rFonts w:ascii="Verdana" w:hAnsi="Verdana"/>
          <w:sz w:val="16"/>
          <w:szCs w:val="16"/>
          <w:lang w:val="fr-FR"/>
        </w:rPr>
        <w:t>Hannoversche</w:t>
      </w:r>
      <w:proofErr w:type="spellEnd"/>
      <w:r w:rsidRPr="00D51165">
        <w:rPr>
          <w:rFonts w:ascii="Verdana" w:hAnsi="Verdana"/>
          <w:sz w:val="16"/>
          <w:szCs w:val="16"/>
          <w:lang w:val="fr-FR"/>
        </w:rPr>
        <w:t xml:space="preserve"> </w:t>
      </w:r>
      <w:proofErr w:type="spellStart"/>
      <w:r w:rsidRPr="00D51165">
        <w:rPr>
          <w:rFonts w:ascii="Verdana" w:hAnsi="Verdana"/>
          <w:sz w:val="16"/>
          <w:szCs w:val="16"/>
          <w:lang w:val="fr-FR"/>
        </w:rPr>
        <w:t>Straße</w:t>
      </w:r>
      <w:proofErr w:type="spellEnd"/>
      <w:r w:rsidRPr="00D51165">
        <w:rPr>
          <w:rFonts w:ascii="Verdana" w:hAnsi="Verdana"/>
          <w:sz w:val="16"/>
          <w:szCs w:val="16"/>
          <w:lang w:val="fr-FR"/>
        </w:rPr>
        <w:t xml:space="preserve"> 105, 30916 Isernhagen, Allemagne, www.aucotec.com </w:t>
      </w:r>
    </w:p>
    <w:p w14:paraId="1ABC9329" w14:textId="77777777" w:rsidR="003C6583" w:rsidRPr="004F79DD" w:rsidRDefault="004F79DD" w:rsidP="007E32B5">
      <w:pPr>
        <w:spacing w:after="0" w:line="240" w:lineRule="auto"/>
        <w:rPr>
          <w:rFonts w:ascii="Verdana" w:hAnsi="Verdana"/>
          <w:sz w:val="16"/>
          <w:szCs w:val="16"/>
          <w:lang w:val="fr-FR"/>
        </w:rPr>
      </w:pPr>
      <w:r w:rsidRPr="004F79DD">
        <w:rPr>
          <w:rFonts w:ascii="Verdana" w:hAnsi="Verdana"/>
          <w:sz w:val="16"/>
          <w:szCs w:val="16"/>
          <w:lang w:val="fr-FR"/>
        </w:rPr>
        <w:lastRenderedPageBreak/>
        <w:t>Travail de presse et de relations publiques, Johanna Kiesel (</w:t>
      </w:r>
      <w:hyperlink r:id="rId21" w:history="1">
        <w:r w:rsidRPr="004F79DD">
          <w:rPr>
            <w:rStyle w:val="Hyperlink"/>
            <w:rFonts w:ascii="Verdana" w:hAnsi="Verdana"/>
            <w:sz w:val="16"/>
            <w:szCs w:val="16"/>
            <w:lang w:val="fr-FR"/>
          </w:rPr>
          <w:t>johanna.kiesel@aucotec.com</w:t>
        </w:r>
      </w:hyperlink>
      <w:r w:rsidRPr="004F79DD">
        <w:rPr>
          <w:rFonts w:ascii="Verdana" w:hAnsi="Verdana"/>
          <w:sz w:val="16"/>
          <w:szCs w:val="16"/>
          <w:lang w:val="fr-FR"/>
        </w:rPr>
        <w:t>, +49(0)511-6103186</w:t>
      </w:r>
      <w:r w:rsidRPr="004F79DD">
        <w:rPr>
          <w:rFonts w:ascii="Verdana" w:hAnsi="Verdana"/>
          <w:sz w:val="18"/>
          <w:szCs w:val="16"/>
          <w:lang w:val="fr-FR"/>
        </w:rPr>
        <w:t>)</w:t>
      </w:r>
    </w:p>
    <w:sectPr w:rsidR="003C6583" w:rsidRPr="004F79DD" w:rsidSect="00DB3364">
      <w:headerReference w:type="even" r:id="rId22"/>
      <w:headerReference w:type="default" r:id="rId23"/>
      <w:footerReference w:type="even" r:id="rId24"/>
      <w:footerReference w:type="default" r:id="rId25"/>
      <w:headerReference w:type="first" r:id="rId26"/>
      <w:footerReference w:type="first" r:id="rId27"/>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F695" w14:textId="77777777" w:rsidR="00D12F99" w:rsidRDefault="004F79DD">
      <w:pPr>
        <w:spacing w:after="0" w:line="240" w:lineRule="auto"/>
      </w:pPr>
      <w:r>
        <w:separator/>
      </w:r>
    </w:p>
  </w:endnote>
  <w:endnote w:type="continuationSeparator" w:id="0">
    <w:p w14:paraId="2FB45A95" w14:textId="77777777" w:rsidR="00D12F99" w:rsidRDefault="004F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6F8F"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270F" w14:textId="77777777" w:rsidR="00DB3364" w:rsidRDefault="004F79DD">
    <w:pPr>
      <w:pStyle w:val="Fuzeile"/>
    </w:pPr>
    <w:r>
      <w:rPr>
        <w:noProof/>
        <w:lang w:eastAsia="de-DE"/>
      </w:rPr>
      <mc:AlternateContent>
        <mc:Choice Requires="wps">
          <w:drawing>
            <wp:anchor distT="45720" distB="45720" distL="114300" distR="114300" simplePos="0" relativeHeight="251662336" behindDoc="0" locked="0" layoutInCell="1" allowOverlap="1" wp14:anchorId="33065EC9" wp14:editId="166F10A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277F5FA" w14:textId="77777777" w:rsidR="00DB3364" w:rsidRPr="00254B77" w:rsidRDefault="004F79DD"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3065EC9"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1277F5FA" w14:textId="77777777" w:rsidR="00DB3364" w:rsidRPr="00254B77" w:rsidRDefault="004F79DD"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3DDECA18" wp14:editId="26FBE0BC">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F7B8"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3D6C" w14:textId="77777777" w:rsidR="00D12F99" w:rsidRDefault="004F79DD">
      <w:pPr>
        <w:spacing w:after="0" w:line="240" w:lineRule="auto"/>
      </w:pPr>
      <w:r>
        <w:separator/>
      </w:r>
    </w:p>
  </w:footnote>
  <w:footnote w:type="continuationSeparator" w:id="0">
    <w:p w14:paraId="04ACFC10" w14:textId="77777777" w:rsidR="00D12F99" w:rsidRDefault="004F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A590"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5EB0" w14:textId="77777777" w:rsidR="00C46BA4" w:rsidRDefault="004F79DD">
    <w:pPr>
      <w:pStyle w:val="Kopfzeile"/>
    </w:pPr>
    <w:r>
      <w:rPr>
        <w:noProof/>
      </w:rPr>
      <mc:AlternateContent>
        <mc:Choice Requires="wpg">
          <w:drawing>
            <wp:anchor distT="0" distB="0" distL="114300" distR="114300" simplePos="0" relativeHeight="251663360" behindDoc="0" locked="0" layoutInCell="1" allowOverlap="1" wp14:anchorId="019D204D" wp14:editId="03ECEB2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6281" w14:textId="77777777" w:rsidR="00C46BA4" w:rsidRDefault="004F79DD">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27E95E92" wp14:editId="3EDDCB73">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29653"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472C4"/>
    <w:rsid w:val="00053FED"/>
    <w:rsid w:val="000B0FB9"/>
    <w:rsid w:val="000B6743"/>
    <w:rsid w:val="000D7AEE"/>
    <w:rsid w:val="0010555F"/>
    <w:rsid w:val="00134C03"/>
    <w:rsid w:val="00146B02"/>
    <w:rsid w:val="00153C40"/>
    <w:rsid w:val="00156389"/>
    <w:rsid w:val="00162D01"/>
    <w:rsid w:val="00165A80"/>
    <w:rsid w:val="00170FD8"/>
    <w:rsid w:val="00175BD4"/>
    <w:rsid w:val="001C7E41"/>
    <w:rsid w:val="001E6BDF"/>
    <w:rsid w:val="001F59C0"/>
    <w:rsid w:val="002143C8"/>
    <w:rsid w:val="00220369"/>
    <w:rsid w:val="00244D30"/>
    <w:rsid w:val="00254B77"/>
    <w:rsid w:val="00276121"/>
    <w:rsid w:val="002A672C"/>
    <w:rsid w:val="002B2D28"/>
    <w:rsid w:val="002C394E"/>
    <w:rsid w:val="002E017E"/>
    <w:rsid w:val="00307185"/>
    <w:rsid w:val="00335CF8"/>
    <w:rsid w:val="003368F4"/>
    <w:rsid w:val="00341DA3"/>
    <w:rsid w:val="00355E55"/>
    <w:rsid w:val="00390093"/>
    <w:rsid w:val="003A1E0C"/>
    <w:rsid w:val="003C6583"/>
    <w:rsid w:val="003C75A6"/>
    <w:rsid w:val="003E20D2"/>
    <w:rsid w:val="003E467A"/>
    <w:rsid w:val="003F3D78"/>
    <w:rsid w:val="00452BCF"/>
    <w:rsid w:val="00466282"/>
    <w:rsid w:val="00471071"/>
    <w:rsid w:val="00475EF8"/>
    <w:rsid w:val="00493131"/>
    <w:rsid w:val="004B0F2D"/>
    <w:rsid w:val="004C0A75"/>
    <w:rsid w:val="004D0E16"/>
    <w:rsid w:val="004F3ACD"/>
    <w:rsid w:val="004F4B5E"/>
    <w:rsid w:val="004F79DD"/>
    <w:rsid w:val="0051254E"/>
    <w:rsid w:val="00537236"/>
    <w:rsid w:val="005501F2"/>
    <w:rsid w:val="005B6751"/>
    <w:rsid w:val="005C23AC"/>
    <w:rsid w:val="005F751B"/>
    <w:rsid w:val="00611E85"/>
    <w:rsid w:val="00615752"/>
    <w:rsid w:val="00640D60"/>
    <w:rsid w:val="00643969"/>
    <w:rsid w:val="00651BB7"/>
    <w:rsid w:val="006644D7"/>
    <w:rsid w:val="006A047C"/>
    <w:rsid w:val="006A1B3A"/>
    <w:rsid w:val="006D3B83"/>
    <w:rsid w:val="006D6C9E"/>
    <w:rsid w:val="0071484F"/>
    <w:rsid w:val="00772E6C"/>
    <w:rsid w:val="007C190D"/>
    <w:rsid w:val="007C429F"/>
    <w:rsid w:val="007E32B5"/>
    <w:rsid w:val="00806749"/>
    <w:rsid w:val="00821775"/>
    <w:rsid w:val="00823EC8"/>
    <w:rsid w:val="0085309C"/>
    <w:rsid w:val="008649F2"/>
    <w:rsid w:val="008838A7"/>
    <w:rsid w:val="008957B8"/>
    <w:rsid w:val="008A3C0F"/>
    <w:rsid w:val="008B10A4"/>
    <w:rsid w:val="008B4639"/>
    <w:rsid w:val="008B6F2D"/>
    <w:rsid w:val="008C05B1"/>
    <w:rsid w:val="008F2973"/>
    <w:rsid w:val="00950635"/>
    <w:rsid w:val="00952E4E"/>
    <w:rsid w:val="009564B7"/>
    <w:rsid w:val="00965CD1"/>
    <w:rsid w:val="00972C4E"/>
    <w:rsid w:val="009955D8"/>
    <w:rsid w:val="009E2436"/>
    <w:rsid w:val="009E5423"/>
    <w:rsid w:val="00A0140E"/>
    <w:rsid w:val="00A24426"/>
    <w:rsid w:val="00A36F13"/>
    <w:rsid w:val="00A418B7"/>
    <w:rsid w:val="00A5147E"/>
    <w:rsid w:val="00A55FC7"/>
    <w:rsid w:val="00A6156F"/>
    <w:rsid w:val="00A63359"/>
    <w:rsid w:val="00A6754C"/>
    <w:rsid w:val="00AD6670"/>
    <w:rsid w:val="00B012DE"/>
    <w:rsid w:val="00B10412"/>
    <w:rsid w:val="00B175A1"/>
    <w:rsid w:val="00B970EA"/>
    <w:rsid w:val="00BA7E19"/>
    <w:rsid w:val="00C064E9"/>
    <w:rsid w:val="00C278AA"/>
    <w:rsid w:val="00C4037B"/>
    <w:rsid w:val="00C46BA4"/>
    <w:rsid w:val="00C53BF3"/>
    <w:rsid w:val="00C7179F"/>
    <w:rsid w:val="00C77302"/>
    <w:rsid w:val="00C82533"/>
    <w:rsid w:val="00C95AC8"/>
    <w:rsid w:val="00CE2416"/>
    <w:rsid w:val="00CF2546"/>
    <w:rsid w:val="00D12F99"/>
    <w:rsid w:val="00D30C17"/>
    <w:rsid w:val="00D51165"/>
    <w:rsid w:val="00D51FA5"/>
    <w:rsid w:val="00D52D4C"/>
    <w:rsid w:val="00D727F4"/>
    <w:rsid w:val="00D745A6"/>
    <w:rsid w:val="00D771EC"/>
    <w:rsid w:val="00D90639"/>
    <w:rsid w:val="00D90839"/>
    <w:rsid w:val="00D974CE"/>
    <w:rsid w:val="00DA0EEF"/>
    <w:rsid w:val="00DA6B2E"/>
    <w:rsid w:val="00DB3364"/>
    <w:rsid w:val="00DB6385"/>
    <w:rsid w:val="00E045EA"/>
    <w:rsid w:val="00E61086"/>
    <w:rsid w:val="00E713FE"/>
    <w:rsid w:val="00E85883"/>
    <w:rsid w:val="00E85FF6"/>
    <w:rsid w:val="00EB0CBA"/>
    <w:rsid w:val="00EC5870"/>
    <w:rsid w:val="00F110B2"/>
    <w:rsid w:val="00F204A8"/>
    <w:rsid w:val="00F25007"/>
    <w:rsid w:val="00F43FC5"/>
    <w:rsid w:val="00F45C22"/>
    <w:rsid w:val="00FB3429"/>
    <w:rsid w:val="00FC1405"/>
    <w:rsid w:val="00FF6E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D969"/>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FC1405"/>
    <w:rPr>
      <w:sz w:val="16"/>
      <w:szCs w:val="16"/>
    </w:rPr>
  </w:style>
  <w:style w:type="paragraph" w:styleId="Kommentartext">
    <w:name w:val="annotation text"/>
    <w:basedOn w:val="Standard"/>
    <w:link w:val="KommentartextZchn"/>
    <w:uiPriority w:val="99"/>
    <w:semiHidden/>
    <w:unhideWhenUsed/>
    <w:rsid w:val="00FC14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1405"/>
    <w:rPr>
      <w:sz w:val="20"/>
      <w:szCs w:val="20"/>
    </w:rPr>
  </w:style>
  <w:style w:type="paragraph" w:styleId="Kommentarthema">
    <w:name w:val="annotation subject"/>
    <w:basedOn w:val="Kommentartext"/>
    <w:next w:val="Kommentartext"/>
    <w:link w:val="KommentarthemaZchn"/>
    <w:uiPriority w:val="99"/>
    <w:semiHidden/>
    <w:unhideWhenUsed/>
    <w:rsid w:val="00FC1405"/>
    <w:rPr>
      <w:b/>
      <w:bCs/>
    </w:rPr>
  </w:style>
  <w:style w:type="character" w:customStyle="1" w:styleId="KommentarthemaZchn">
    <w:name w:val="Kommentarthema Zchn"/>
    <w:basedOn w:val="KommentartextZchn"/>
    <w:link w:val="Kommentarthema"/>
    <w:uiPriority w:val="99"/>
    <w:semiHidden/>
    <w:rsid w:val="00FC1405"/>
    <w:rPr>
      <w:b/>
      <w:bCs/>
      <w:sz w:val="20"/>
      <w:szCs w:val="20"/>
    </w:rPr>
  </w:style>
  <w:style w:type="paragraph" w:styleId="berarbeitung">
    <w:name w:val="Revision"/>
    <w:hidden/>
    <w:uiPriority w:val="99"/>
    <w:semiHidden/>
    <w:rsid w:val="00EB0CBA"/>
    <w:pPr>
      <w:spacing w:after="0" w:line="240" w:lineRule="auto"/>
    </w:pPr>
  </w:style>
  <w:style w:type="character" w:styleId="NichtaufgelsteErwhnung">
    <w:name w:val="Unresolved Mention"/>
    <w:basedOn w:val="Absatz-Standardschriftart"/>
    <w:uiPriority w:val="99"/>
    <w:rsid w:val="00AD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cotec.com/fileadmin/user_upload/News_Press/Press_Releases/2022/PM_IEC_61850_Screenshot.jpg"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johanna.kiesel@aucotec.com" TargetMode="External"/><Relationship Id="rId7" Type="http://schemas.openxmlformats.org/officeDocument/2006/relationships/hyperlink" Target="https://www.aucotec.com/fileadmin/user_upload/News_Press/Press_Releases/2022/Digital-Twin_Substation.jpg" TargetMode="External"/><Relationship Id="rId12" Type="http://schemas.openxmlformats.org/officeDocument/2006/relationships/hyperlink" Target="https://www.aucotec.com/fileadmin/user_upload/News_Press/Press_Releases/2022/SCD-file_pr_FR.jpg" TargetMode="External"/><Relationship Id="rId17" Type="http://schemas.openxmlformats.org/officeDocument/2006/relationships/hyperlink" Target="https://www.aucotec.com/fileadmin/user_upload/News_Press/Press_Releases/2022/Michaela_Imbusch_Product-Manager_Energy_Infrastructure.jp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ucotec.com/fileadmin/user_upload/News_Press/Press_Releases/2022/PM_IEC_61850_Screenshot.jpg" TargetMode="External"/><Relationship Id="rId20" Type="http://schemas.openxmlformats.org/officeDocument/2006/relationships/hyperlink" Target="https://www.aucote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cid:image005.jpg@01D896AD.732283A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ucotec.com/fileadmin/user_upload/News_Press/Press_Releases/2022/SCD-file_pr_FR.jpg" TargetMode="External"/><Relationship Id="rId19" Type="http://schemas.openxmlformats.org/officeDocument/2006/relationships/hyperlink" Target="https://www.aucotec.com/fileadmin/user_upload/News_Press/Press_Releases/2022/Michaela_Imbusch_Product-Manager_Energy_Infrastructure.jpg" TargetMode="External"/><Relationship Id="rId4" Type="http://schemas.openxmlformats.org/officeDocument/2006/relationships/webSettings" Target="webSettings.xml"/><Relationship Id="rId9" Type="http://schemas.openxmlformats.org/officeDocument/2006/relationships/hyperlink" Target="https://www.aucotec.com/fileadmin/user_upload/News_Press/Press_Releases/2022/Digital-Twin_Substation.jpg"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6225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8</cp:revision>
  <cp:lastPrinted>2018-02-26T17:34:00Z</cp:lastPrinted>
  <dcterms:created xsi:type="dcterms:W3CDTF">2022-07-18T09:13:00Z</dcterms:created>
  <dcterms:modified xsi:type="dcterms:W3CDTF">2022-07-19T08:46:00Z</dcterms:modified>
</cp:coreProperties>
</file>