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F7326" w14:textId="77777777" w:rsidR="002143C8" w:rsidRDefault="007C7717" w:rsidP="00C46BA4">
      <w:pPr>
        <w:spacing w:after="0" w:line="240" w:lineRule="auto"/>
        <w:rPr>
          <w:rFonts w:ascii="Verdana" w:hAnsi="Verdana"/>
          <w:sz w:val="18"/>
          <w:szCs w:val="18"/>
        </w:rPr>
      </w:pPr>
      <w:r>
        <w:rPr>
          <w:noProof/>
          <w:lang w:eastAsia="de-DE"/>
        </w:rPr>
        <mc:AlternateContent>
          <mc:Choice Requires="wps">
            <w:drawing>
              <wp:anchor distT="0" distB="0" distL="114300" distR="114300" simplePos="0" relativeHeight="251659264" behindDoc="1" locked="0" layoutInCell="1" allowOverlap="1" wp14:anchorId="03B32059" wp14:editId="09ECA551">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C1AFF" w14:textId="77777777" w:rsidR="00390093" w:rsidRPr="00611E85" w:rsidRDefault="007C7717"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3B32059"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29AC1AFF" w14:textId="77777777" w:rsidR="00390093" w:rsidRPr="00611E85" w:rsidRDefault="007C7717" w:rsidP="00390093">
                      <w:pPr>
                        <w:rPr>
                          <w:rFonts w:ascii="Titillium" w:hAnsi="Titillium"/>
                          <w:color w:val="00B0F0"/>
                          <w:sz w:val="48"/>
                          <w:szCs w:val="48"/>
                        </w:rPr>
                      </w:pPr>
                      <w:r w:rsidRPr="00611E85">
                        <w:rPr>
                          <w:rFonts w:ascii="Titillium" w:hAnsi="Titillium"/>
                          <w:color w:val="00B0F0"/>
                          <w:sz w:val="48"/>
                          <w:szCs w:val="48"/>
                          <w:lang w:val="fr"/>
                        </w:rPr>
                        <w:t>Communiqué de presse</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61312" behindDoc="0" locked="0" layoutInCell="1" allowOverlap="1" wp14:anchorId="568EC3A1" wp14:editId="3DF3E1F6">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9BEAC" w14:textId="0C14C226" w:rsidR="00390093" w:rsidRPr="00AF6C3E" w:rsidRDefault="007C7717" w:rsidP="00390093">
                            <w:pPr>
                              <w:rPr>
                                <w:rFonts w:ascii="Titillium" w:hAnsi="Titillium"/>
                                <w:color w:val="000000" w:themeColor="text1"/>
                                <w:sz w:val="28"/>
                                <w:szCs w:val="28"/>
                              </w:rPr>
                            </w:pPr>
                            <w:r>
                              <w:rPr>
                                <w:rFonts w:ascii="Titillium" w:hAnsi="Titillium"/>
                                <w:color w:val="000000" w:themeColor="text1"/>
                                <w:sz w:val="28"/>
                                <w:szCs w:val="28"/>
                                <w:lang w:val="fr"/>
                              </w:rPr>
                              <w:t xml:space="preserve">Le </w:t>
                            </w:r>
                            <w:r w:rsidR="001E5A86">
                              <w:rPr>
                                <w:rFonts w:ascii="Titillium" w:hAnsi="Titillium"/>
                                <w:color w:val="000000" w:themeColor="text1"/>
                                <w:sz w:val="28"/>
                                <w:szCs w:val="28"/>
                                <w:lang w:val="fr"/>
                              </w:rPr>
                              <w:t>17</w:t>
                            </w:r>
                            <w:r>
                              <w:rPr>
                                <w:rFonts w:ascii="Titillium" w:hAnsi="Titillium"/>
                                <w:color w:val="000000" w:themeColor="text1"/>
                                <w:sz w:val="28"/>
                                <w:szCs w:val="28"/>
                                <w:lang w:val="fr"/>
                              </w:rPr>
                              <w:t> juillet 2024</w:t>
                            </w:r>
                          </w:p>
                        </w:txbxContent>
                      </wps:txbx>
                      <wps:bodyPr rot="0" vert="horz" wrap="square" lIns="91440" tIns="0" rIns="91440" bIns="0" anchor="t" anchorCtr="0" upright="1"/>
                    </wps:wsp>
                  </a:graphicData>
                </a:graphic>
                <wp14:sizeRelH relativeFrom="page">
                  <wp14:pctWidth>0</wp14:pctWidth>
                </wp14:sizeRelH>
                <wp14:sizeRelV relativeFrom="page">
                  <wp14:pctHeight>0</wp14:pctHeight>
                </wp14:sizeRelV>
              </wp:anchor>
            </w:drawing>
          </mc:Choice>
          <mc:Fallback>
            <w:pict>
              <v:shape w14:anchorId="568EC3A1" id="Text Box 2" o:spid="_x0000_s1027" type="#_x0000_t202" style="position:absolute;margin-left:48pt;margin-top:141.75pt;width:373.5pt;height:18.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" filled="f" stroked="f">
                <v:textbox inset=",0,,0">
                  <w:txbxContent>
                    <w:p w14:paraId="3AA9BEAC" w14:textId="0C14C226" w:rsidR="00390093" w:rsidRPr="00AF6C3E" w:rsidRDefault="007C7717" w:rsidP="00390093">
                      <w:pPr>
                        <w:rPr>
                          <w:rFonts w:ascii="Titillium" w:hAnsi="Titillium"/>
                          <w:color w:val="000000" w:themeColor="text1"/>
                          <w:sz w:val="28"/>
                          <w:szCs w:val="28"/>
                        </w:rPr>
                      </w:pPr>
                      <w:r>
                        <w:rPr>
                          <w:rFonts w:ascii="Titillium" w:hAnsi="Titillium"/>
                          <w:color w:val="000000" w:themeColor="text1"/>
                          <w:sz w:val="28"/>
                          <w:szCs w:val="28"/>
                          <w:lang w:val="fr"/>
                        </w:rPr>
                        <w:t xml:space="preserve">Le </w:t>
                      </w:r>
                      <w:r w:rsidR="001E5A86">
                        <w:rPr>
                          <w:rFonts w:ascii="Titillium" w:hAnsi="Titillium"/>
                          <w:color w:val="000000" w:themeColor="text1"/>
                          <w:sz w:val="28"/>
                          <w:szCs w:val="28"/>
                          <w:lang w:val="fr"/>
                        </w:rPr>
                        <w:t>17</w:t>
                      </w:r>
                      <w:r>
                        <w:rPr>
                          <w:rFonts w:ascii="Titillium" w:hAnsi="Titillium"/>
                          <w:color w:val="000000" w:themeColor="text1"/>
                          <w:sz w:val="28"/>
                          <w:szCs w:val="28"/>
                          <w:lang w:val="fr"/>
                        </w:rPr>
                        <w:t> juillet 2024</w:t>
                      </w:r>
                    </w:p>
                  </w:txbxContent>
                </v:textbox>
                <w10:wrap type="topAndBottom" anchorx="page" anchory="page"/>
              </v:shape>
            </w:pict>
          </mc:Fallback>
        </mc:AlternateContent>
      </w:r>
    </w:p>
    <w:p w14:paraId="17916262" w14:textId="77777777" w:rsidR="00B13557" w:rsidRPr="00AE7F91" w:rsidRDefault="007C7717" w:rsidP="00B13557">
      <w:pPr>
        <w:spacing w:after="0" w:line="240" w:lineRule="auto"/>
        <w:rPr>
          <w:rFonts w:ascii="Verdana" w:eastAsia="Times New Roman" w:hAnsi="Verdana" w:cs="Arial"/>
          <w:color w:val="000000" w:themeColor="text1"/>
          <w:sz w:val="28"/>
          <w:szCs w:val="28"/>
          <w:lang w:val="fr-FR" w:eastAsia="de-DE"/>
        </w:rPr>
      </w:pPr>
      <w:r w:rsidRPr="00AE7F91">
        <w:rPr>
          <w:rFonts w:ascii="Verdana" w:eastAsia="Times New Roman" w:hAnsi="Verdana" w:cs="Arial"/>
          <w:color w:val="000000" w:themeColor="text1"/>
          <w:sz w:val="28"/>
          <w:szCs w:val="28"/>
          <w:lang w:val="fr" w:eastAsia="de-DE"/>
        </w:rPr>
        <w:t xml:space="preserve">CIGRE 2024 : en véritable pionnière, la société </w:t>
      </w:r>
      <w:proofErr w:type="spellStart"/>
      <w:r w:rsidRPr="00AE7F91">
        <w:rPr>
          <w:rFonts w:ascii="Verdana" w:eastAsia="Times New Roman" w:hAnsi="Verdana" w:cs="Arial"/>
          <w:color w:val="000000" w:themeColor="text1"/>
          <w:sz w:val="28"/>
          <w:szCs w:val="28"/>
          <w:lang w:val="fr" w:eastAsia="de-DE"/>
        </w:rPr>
        <w:t>Aucotec</w:t>
      </w:r>
      <w:proofErr w:type="spellEnd"/>
      <w:r w:rsidRPr="00AE7F91">
        <w:rPr>
          <w:rFonts w:ascii="Verdana" w:eastAsia="Times New Roman" w:hAnsi="Verdana" w:cs="Arial"/>
          <w:color w:val="000000" w:themeColor="text1"/>
          <w:sz w:val="28"/>
          <w:szCs w:val="28"/>
          <w:lang w:val="fr" w:eastAsia="de-DE"/>
        </w:rPr>
        <w:t xml:space="preserve"> crée du lien entre les univers du matériel et des logiciels </w:t>
      </w:r>
    </w:p>
    <w:p w14:paraId="3F77FA88" w14:textId="77777777" w:rsidR="00D86729" w:rsidRPr="00ED3C1A" w:rsidRDefault="00D86729" w:rsidP="00B13557">
      <w:pPr>
        <w:spacing w:after="0" w:line="240" w:lineRule="auto"/>
        <w:rPr>
          <w:rFonts w:ascii="Verdana" w:hAnsi="Verdana" w:cs="Arial"/>
          <w:sz w:val="28"/>
          <w:szCs w:val="28"/>
          <w:lang w:val="fr-FR"/>
        </w:rPr>
      </w:pPr>
    </w:p>
    <w:p w14:paraId="78D2FE55" w14:textId="77777777" w:rsidR="00E24F7C" w:rsidRPr="00ED3C1A" w:rsidRDefault="007C7717" w:rsidP="00E24F7C">
      <w:pPr>
        <w:numPr>
          <w:ilvl w:val="0"/>
          <w:numId w:val="4"/>
        </w:numPr>
        <w:spacing w:after="0" w:line="240" w:lineRule="auto"/>
        <w:rPr>
          <w:rFonts w:ascii="Verdana" w:hAnsi="Verdana" w:cs="Arial"/>
          <w:b/>
          <w:bCs/>
          <w:sz w:val="20"/>
          <w:szCs w:val="20"/>
          <w:lang w:val="fr-FR"/>
        </w:rPr>
      </w:pPr>
      <w:r>
        <w:rPr>
          <w:rFonts w:ascii="Verdana" w:hAnsi="Verdana" w:cs="Arial"/>
          <w:b/>
          <w:bCs/>
          <w:sz w:val="20"/>
          <w:szCs w:val="20"/>
          <w:lang w:val="fr"/>
        </w:rPr>
        <w:t>La plateforme collaborative Engineering Base utilisée comme socle de données pour l'ensemble du cycle de vie des sous-stations</w:t>
      </w:r>
    </w:p>
    <w:p w14:paraId="5173F54B" w14:textId="77777777" w:rsidR="00E24F7C" w:rsidRPr="00ED3C1A" w:rsidRDefault="007C7717" w:rsidP="00E24F7C">
      <w:pPr>
        <w:numPr>
          <w:ilvl w:val="0"/>
          <w:numId w:val="4"/>
        </w:numPr>
        <w:spacing w:after="0" w:line="240" w:lineRule="auto"/>
        <w:rPr>
          <w:rFonts w:ascii="Verdana" w:hAnsi="Verdana" w:cs="Arial"/>
          <w:b/>
          <w:bCs/>
          <w:sz w:val="20"/>
          <w:szCs w:val="20"/>
          <w:lang w:val="fr-FR"/>
        </w:rPr>
      </w:pPr>
      <w:r w:rsidRPr="00E24F7C">
        <w:rPr>
          <w:rFonts w:ascii="Verdana" w:hAnsi="Verdana" w:cs="Arial"/>
          <w:b/>
          <w:bCs/>
          <w:sz w:val="20"/>
          <w:szCs w:val="20"/>
          <w:lang w:val="fr"/>
        </w:rPr>
        <w:t xml:space="preserve">Une prise en compte intégrale de la norme CEI 61850 : la plateforme d'ingénierie couvre la totalité du cycle de vie des sous-stations </w:t>
      </w:r>
    </w:p>
    <w:p w14:paraId="6896262B" w14:textId="77777777" w:rsidR="00E24F7C" w:rsidRPr="00ED3C1A" w:rsidRDefault="007C7717" w:rsidP="00E24F7C">
      <w:pPr>
        <w:numPr>
          <w:ilvl w:val="0"/>
          <w:numId w:val="4"/>
        </w:numPr>
        <w:spacing w:after="0" w:line="240" w:lineRule="auto"/>
        <w:rPr>
          <w:rFonts w:ascii="Verdana" w:hAnsi="Verdana" w:cs="Arial"/>
          <w:b/>
          <w:bCs/>
          <w:sz w:val="20"/>
          <w:szCs w:val="20"/>
          <w:lang w:val="fr-FR"/>
        </w:rPr>
      </w:pPr>
      <w:r w:rsidRPr="00E24F7C">
        <w:rPr>
          <w:rFonts w:ascii="Verdana" w:hAnsi="Verdana" w:cs="Arial"/>
          <w:b/>
          <w:bCs/>
          <w:sz w:val="20"/>
          <w:szCs w:val="20"/>
          <w:lang w:val="fr"/>
        </w:rPr>
        <w:t>Une solution d'ingénierie intégrée servant à planifier le matériel dans la technique primaire et secondaire, mais aussi à configurer le logiciel pour les systèmes de protection et de commande</w:t>
      </w:r>
    </w:p>
    <w:p w14:paraId="63433D59" w14:textId="77777777" w:rsidR="00CF2546" w:rsidRPr="00ED3C1A" w:rsidRDefault="00CF2546" w:rsidP="00C46BA4">
      <w:pPr>
        <w:spacing w:after="0" w:line="240" w:lineRule="auto"/>
        <w:rPr>
          <w:rFonts w:ascii="Verdana" w:hAnsi="Verdana"/>
          <w:b/>
          <w:sz w:val="18"/>
          <w:szCs w:val="18"/>
          <w:lang w:val="fr-FR"/>
        </w:rPr>
      </w:pPr>
    </w:p>
    <w:p w14:paraId="25957798" w14:textId="77777777" w:rsidR="000B5D9C" w:rsidRPr="00ED3C1A" w:rsidRDefault="007C7717" w:rsidP="000B5D9C">
      <w:pPr>
        <w:shd w:val="clear" w:color="auto" w:fill="FFFFFF"/>
        <w:spacing w:after="0" w:line="240" w:lineRule="auto"/>
        <w:rPr>
          <w:rFonts w:ascii="Verdana" w:eastAsia="Times New Roman" w:hAnsi="Verdana" w:cs="Arial"/>
          <w:color w:val="3B3B3B"/>
          <w:sz w:val="18"/>
          <w:szCs w:val="18"/>
          <w:lang w:val="fr-FR" w:eastAsia="de-DE"/>
        </w:rPr>
      </w:pPr>
      <w:r w:rsidRPr="000B5D9C">
        <w:rPr>
          <w:rFonts w:ascii="Verdana" w:eastAsia="Times New Roman" w:hAnsi="Verdana" w:cs="Arial"/>
          <w:color w:val="3B3B3B"/>
          <w:sz w:val="18"/>
          <w:szCs w:val="18"/>
          <w:lang w:val="fr" w:eastAsia="de-DE"/>
        </w:rPr>
        <w:t xml:space="preserve">Décentralisation, numérisation et décarbonation : voilà les thèmes du moment dans le secteur de l'énergie, que l'on retrouve également au congrès CIGRE, un moment clé d'échanges technico-scientifiques à l'échelle mondiale dédié aux systèmes énergétiques, ainsi qu'au transport, à la distribution et à l'approvisionnement en énergie électrique, qui se tiendra à Paris du 25 au 30 août 2024. Sur son stand au Palais des Congrès (niveau 1, S133), </w:t>
      </w:r>
      <w:proofErr w:type="spellStart"/>
      <w:r w:rsidRPr="000B5D9C">
        <w:rPr>
          <w:rFonts w:ascii="Verdana" w:eastAsia="Times New Roman" w:hAnsi="Verdana" w:cs="Arial"/>
          <w:color w:val="3B3B3B"/>
          <w:sz w:val="18"/>
          <w:szCs w:val="18"/>
          <w:lang w:val="fr" w:eastAsia="de-DE"/>
        </w:rPr>
        <w:t>Aucotec</w:t>
      </w:r>
      <w:proofErr w:type="spellEnd"/>
      <w:r w:rsidRPr="000B5D9C">
        <w:rPr>
          <w:rFonts w:ascii="Verdana" w:eastAsia="Times New Roman" w:hAnsi="Verdana" w:cs="Arial"/>
          <w:color w:val="3B3B3B"/>
          <w:sz w:val="18"/>
          <w:szCs w:val="18"/>
          <w:lang w:val="fr" w:eastAsia="de-DE"/>
        </w:rPr>
        <w:t> AG montrera comment sa plateforme collaborative Engineering Base accélère durablement la construction et la transformation d'infrastructures réseau, et contribue ainsi activement aux évolutions requises dans le secteur.</w:t>
      </w:r>
    </w:p>
    <w:p w14:paraId="7219CA26" w14:textId="77777777" w:rsidR="004A78A0" w:rsidRPr="00ED3C1A" w:rsidRDefault="004A78A0" w:rsidP="004A78A0">
      <w:pPr>
        <w:shd w:val="clear" w:color="auto" w:fill="FFFFFF"/>
        <w:spacing w:after="0" w:line="240" w:lineRule="auto"/>
        <w:rPr>
          <w:rFonts w:ascii="Verdana" w:eastAsia="Times New Roman" w:hAnsi="Verdana" w:cs="Arial"/>
          <w:color w:val="3B3B3B"/>
          <w:sz w:val="18"/>
          <w:szCs w:val="18"/>
          <w:lang w:val="fr-FR" w:eastAsia="de-DE"/>
        </w:rPr>
      </w:pPr>
    </w:p>
    <w:p w14:paraId="626CFC07" w14:textId="77777777" w:rsidR="008F1C4C" w:rsidRPr="00ED3C1A" w:rsidRDefault="007C7717" w:rsidP="008F1C4C">
      <w:pPr>
        <w:shd w:val="clear" w:color="auto" w:fill="FFFFFF"/>
        <w:spacing w:after="0" w:line="240" w:lineRule="auto"/>
        <w:rPr>
          <w:rFonts w:ascii="Verdana" w:eastAsia="Times New Roman" w:hAnsi="Verdana" w:cs="Arial"/>
          <w:b/>
          <w:bCs/>
          <w:color w:val="3B3B3B"/>
          <w:sz w:val="18"/>
          <w:szCs w:val="18"/>
          <w:lang w:val="fr-FR" w:eastAsia="de-DE"/>
        </w:rPr>
      </w:pPr>
      <w:r w:rsidRPr="008F1C4C">
        <w:rPr>
          <w:rFonts w:ascii="Verdana" w:eastAsia="Times New Roman" w:hAnsi="Verdana" w:cs="Arial"/>
          <w:b/>
          <w:bCs/>
          <w:color w:val="3B3B3B"/>
          <w:sz w:val="18"/>
          <w:szCs w:val="18"/>
          <w:lang w:val="fr" w:eastAsia="de-DE"/>
        </w:rPr>
        <w:t>La transition énergétique passe par le numérique</w:t>
      </w:r>
    </w:p>
    <w:p w14:paraId="0A0D8BDC" w14:textId="77777777" w:rsidR="000B5D9C" w:rsidRPr="00ED3C1A" w:rsidRDefault="007C7717" w:rsidP="000B5D9C">
      <w:pPr>
        <w:shd w:val="clear" w:color="auto" w:fill="FFFFFF"/>
        <w:spacing w:after="0" w:line="240" w:lineRule="auto"/>
        <w:rPr>
          <w:rFonts w:ascii="Verdana" w:eastAsia="Times New Roman" w:hAnsi="Verdana" w:cs="Arial"/>
          <w:color w:val="3B3B3B"/>
          <w:sz w:val="18"/>
          <w:szCs w:val="18"/>
          <w:lang w:val="fr-FR" w:eastAsia="de-DE"/>
        </w:rPr>
      </w:pPr>
      <w:r w:rsidRPr="000B5D9C">
        <w:rPr>
          <w:rFonts w:ascii="Verdana" w:eastAsia="Times New Roman" w:hAnsi="Verdana" w:cs="Arial"/>
          <w:color w:val="3B3B3B"/>
          <w:sz w:val="18"/>
          <w:szCs w:val="18"/>
          <w:lang w:val="fr" w:eastAsia="de-DE"/>
        </w:rPr>
        <w:t>Les experts, les politiques et les entreprises ont rarement été aussi unanimes : pour réussir la transition énergétique, il faut accélérer le développement des réseaux, notamment en installant de nouvelles sous-stations connectées. Le besoin de disposer de nouvelles infrastructures réseau modernes et décentralisées se fait de plus en plus pressant. Ce n'est pas un hasard si les technologies numériques et les réseaux intelligents caracolent en tête des prévisions d'investissements chez les entreprises, et ce dans le monde entier. Pour les sous-stations, par exemple, d'après les experts en études de marché de Fortune Business Insights, le marché mondial annuel devrait passer d'environ 135 milliards d'euros en 2024 à près de 192 milliards d'euros en 2032.</w:t>
      </w:r>
    </w:p>
    <w:p w14:paraId="44BB3F4D" w14:textId="77777777" w:rsidR="004A78A0" w:rsidRPr="00ED3C1A" w:rsidRDefault="004A78A0" w:rsidP="004A78A0">
      <w:pPr>
        <w:shd w:val="clear" w:color="auto" w:fill="FFFFFF"/>
        <w:spacing w:after="0" w:line="240" w:lineRule="auto"/>
        <w:rPr>
          <w:rFonts w:ascii="Verdana" w:eastAsia="Times New Roman" w:hAnsi="Verdana" w:cs="Arial"/>
          <w:color w:val="3B3B3B"/>
          <w:sz w:val="18"/>
          <w:szCs w:val="18"/>
          <w:lang w:val="fr-FR" w:eastAsia="de-DE"/>
        </w:rPr>
      </w:pPr>
    </w:p>
    <w:p w14:paraId="5E7858A5" w14:textId="77777777" w:rsidR="008F1C4C" w:rsidRPr="00ED3C1A" w:rsidRDefault="007C7717" w:rsidP="008F1C4C">
      <w:pPr>
        <w:shd w:val="clear" w:color="auto" w:fill="FFFFFF" w:themeFill="background1"/>
        <w:spacing w:after="0" w:line="240" w:lineRule="auto"/>
        <w:rPr>
          <w:rFonts w:ascii="Verdana" w:eastAsia="Times New Roman" w:hAnsi="Verdana" w:cs="Arial"/>
          <w:b/>
          <w:bCs/>
          <w:color w:val="3B3B3B"/>
          <w:sz w:val="18"/>
          <w:szCs w:val="18"/>
          <w:lang w:val="fr-FR" w:eastAsia="de-DE"/>
        </w:rPr>
      </w:pPr>
      <w:r>
        <w:rPr>
          <w:rFonts w:ascii="Verdana" w:eastAsia="Times New Roman" w:hAnsi="Verdana" w:cs="Arial"/>
          <w:b/>
          <w:bCs/>
          <w:color w:val="3B3B3B"/>
          <w:sz w:val="18"/>
          <w:szCs w:val="18"/>
          <w:lang w:val="fr" w:eastAsia="de-DE"/>
        </w:rPr>
        <w:t>Quand les univers du matériel et des logiciels se rejoignent</w:t>
      </w:r>
    </w:p>
    <w:p w14:paraId="49ED8C74" w14:textId="77777777" w:rsidR="000B5D9C" w:rsidRPr="00ED3C1A" w:rsidRDefault="007C7717" w:rsidP="000B5D9C">
      <w:pPr>
        <w:shd w:val="clear" w:color="auto" w:fill="FFFFFF" w:themeFill="background1"/>
        <w:spacing w:after="0" w:line="240" w:lineRule="auto"/>
        <w:rPr>
          <w:rFonts w:ascii="Verdana" w:eastAsia="Times New Roman" w:hAnsi="Verdana" w:cs="Arial"/>
          <w:color w:val="3B3B3B"/>
          <w:sz w:val="18"/>
          <w:szCs w:val="18"/>
          <w:lang w:val="fr-FR" w:eastAsia="de-DE"/>
        </w:rPr>
      </w:pPr>
      <w:r w:rsidRPr="000B5D9C">
        <w:rPr>
          <w:rFonts w:ascii="Verdana" w:eastAsia="Times New Roman" w:hAnsi="Verdana" w:cs="Arial"/>
          <w:color w:val="3B3B3B"/>
          <w:sz w:val="18"/>
          <w:szCs w:val="18"/>
          <w:lang w:val="fr" w:eastAsia="de-DE"/>
        </w:rPr>
        <w:t>Les solutions numériques intégrées, telles que la plateforme collaborative Engineering Base d'</w:t>
      </w:r>
      <w:proofErr w:type="spellStart"/>
      <w:r w:rsidRPr="000B5D9C">
        <w:rPr>
          <w:rFonts w:ascii="Verdana" w:eastAsia="Times New Roman" w:hAnsi="Verdana" w:cs="Arial"/>
          <w:color w:val="3B3B3B"/>
          <w:sz w:val="18"/>
          <w:szCs w:val="18"/>
          <w:lang w:val="fr" w:eastAsia="de-DE"/>
        </w:rPr>
        <w:t>Aucotec</w:t>
      </w:r>
      <w:proofErr w:type="spellEnd"/>
      <w:r w:rsidRPr="000B5D9C">
        <w:rPr>
          <w:rFonts w:ascii="Verdana" w:eastAsia="Times New Roman" w:hAnsi="Verdana" w:cs="Arial"/>
          <w:color w:val="3B3B3B"/>
          <w:sz w:val="18"/>
          <w:szCs w:val="18"/>
          <w:lang w:val="fr" w:eastAsia="de-DE"/>
        </w:rPr>
        <w:t xml:space="preserve">, sont spécifiquement conçues pour ce marché majeur. « Engineering Base crée les conditions nécessaires pour maîtriser la distribution d'énergie de demain : source unique de vérité pour les techniques primaires, secondaires, ainsi que pour les systèmes de protection et de commande, elle garantit une cohérence unique et un travail plus efficace et plus sûr », indique Michaela Imbusch, responsable produit de l'activité Power Transmission &amp; Distribution chez </w:t>
      </w:r>
      <w:proofErr w:type="spellStart"/>
      <w:r w:rsidRPr="000B5D9C">
        <w:rPr>
          <w:rFonts w:ascii="Verdana" w:eastAsia="Times New Roman" w:hAnsi="Verdana" w:cs="Arial"/>
          <w:color w:val="3B3B3B"/>
          <w:sz w:val="18"/>
          <w:szCs w:val="18"/>
          <w:lang w:val="fr" w:eastAsia="de-DE"/>
        </w:rPr>
        <w:t>Aucotec</w:t>
      </w:r>
      <w:proofErr w:type="spellEnd"/>
      <w:r w:rsidRPr="000B5D9C">
        <w:rPr>
          <w:rFonts w:ascii="Verdana" w:eastAsia="Times New Roman" w:hAnsi="Verdana" w:cs="Arial"/>
          <w:color w:val="3B3B3B"/>
          <w:sz w:val="18"/>
          <w:szCs w:val="18"/>
          <w:lang w:val="fr" w:eastAsia="de-DE"/>
        </w:rPr>
        <w:t>.</w:t>
      </w:r>
    </w:p>
    <w:p w14:paraId="3932282A" w14:textId="77777777" w:rsidR="000B5D9C" w:rsidRPr="00ED3C1A" w:rsidRDefault="000B5D9C" w:rsidP="000B5D9C">
      <w:pPr>
        <w:shd w:val="clear" w:color="auto" w:fill="FFFFFF" w:themeFill="background1"/>
        <w:spacing w:after="0" w:line="240" w:lineRule="auto"/>
        <w:rPr>
          <w:rFonts w:ascii="Verdana" w:eastAsia="Times New Roman" w:hAnsi="Verdana" w:cs="Arial"/>
          <w:color w:val="3B3B3B"/>
          <w:sz w:val="18"/>
          <w:szCs w:val="18"/>
          <w:lang w:val="fr-FR" w:eastAsia="de-DE"/>
        </w:rPr>
      </w:pPr>
    </w:p>
    <w:p w14:paraId="543BADEC" w14:textId="77777777" w:rsidR="000B5D9C" w:rsidRPr="00ED3C1A" w:rsidRDefault="007C7717" w:rsidP="000B5D9C">
      <w:pPr>
        <w:shd w:val="clear" w:color="auto" w:fill="FFFFFF" w:themeFill="background1"/>
        <w:spacing w:after="0" w:line="240" w:lineRule="auto"/>
        <w:rPr>
          <w:rFonts w:ascii="Verdana" w:eastAsia="Times New Roman" w:hAnsi="Verdana" w:cs="Arial"/>
          <w:color w:val="3B3B3B"/>
          <w:sz w:val="18"/>
          <w:szCs w:val="18"/>
          <w:lang w:val="fr-FR" w:eastAsia="de-DE"/>
        </w:rPr>
      </w:pPr>
      <w:r w:rsidRPr="000B5D9C">
        <w:rPr>
          <w:rFonts w:ascii="Verdana" w:eastAsia="Times New Roman" w:hAnsi="Verdana" w:cs="Arial"/>
          <w:color w:val="3B3B3B"/>
          <w:sz w:val="18"/>
          <w:szCs w:val="18"/>
          <w:lang w:val="fr" w:eastAsia="de-DE"/>
        </w:rPr>
        <w:t xml:space="preserve">En véritable socle de données, la plateforme Engineering Base rassemble les données au sein d'un jumeau numérique complet de l'installation, et garantit qu'elles sont mises à jour en permanence tout au long du cycle de vie de l'installation, par les différentes disciplines et les divers services impliqués. Grâce à cela, tant les constructeurs d'installations et les bureaux d'ingénierie que les exploitants peuvent gérer efficacement leur volume de projets en croissance rapide dans le secteur de l'énergie. Toutes les disciplines, y compris les systèmes de protection et de commande, ont accès au modèle de données consolidé. « C'est ce qui permet d'avoir des données cohérentes et à jour », souligne Michaela Imbusch. « L'environnement outils et systèmes est considérablement allégé. » </w:t>
      </w:r>
    </w:p>
    <w:p w14:paraId="108C0856" w14:textId="77777777" w:rsidR="004A78A0" w:rsidRPr="00ED3C1A" w:rsidRDefault="004A78A0" w:rsidP="004A78A0">
      <w:pPr>
        <w:shd w:val="clear" w:color="auto" w:fill="FFFFFF"/>
        <w:spacing w:after="0" w:line="240" w:lineRule="auto"/>
        <w:rPr>
          <w:rFonts w:ascii="Verdana" w:eastAsia="Times New Roman" w:hAnsi="Verdana" w:cs="Arial"/>
          <w:color w:val="3B3B3B"/>
          <w:sz w:val="18"/>
          <w:szCs w:val="18"/>
          <w:lang w:val="fr-FR" w:eastAsia="de-DE"/>
        </w:rPr>
      </w:pPr>
    </w:p>
    <w:p w14:paraId="6728774C" w14:textId="77777777" w:rsidR="008F1C4C" w:rsidRPr="00ED3C1A" w:rsidRDefault="007C7717" w:rsidP="008F1C4C">
      <w:pPr>
        <w:shd w:val="clear" w:color="auto" w:fill="FFFFFF" w:themeFill="background1"/>
        <w:spacing w:after="0" w:line="240" w:lineRule="auto"/>
        <w:rPr>
          <w:rFonts w:ascii="Verdana" w:eastAsia="Times New Roman" w:hAnsi="Verdana" w:cs="Arial"/>
          <w:b/>
          <w:bCs/>
          <w:color w:val="3B3B3B"/>
          <w:sz w:val="18"/>
          <w:szCs w:val="18"/>
          <w:lang w:val="fr-FR" w:eastAsia="de-DE"/>
        </w:rPr>
      </w:pPr>
      <w:r w:rsidRPr="008F1C4C">
        <w:rPr>
          <w:rFonts w:ascii="Verdana" w:eastAsia="Times New Roman" w:hAnsi="Verdana" w:cs="Arial"/>
          <w:b/>
          <w:bCs/>
          <w:color w:val="3B3B3B"/>
          <w:sz w:val="18"/>
          <w:szCs w:val="18"/>
          <w:lang w:val="fr" w:eastAsia="de-DE"/>
        </w:rPr>
        <w:t>La norme CEI 61850 : la numérisation à l'état pur</w:t>
      </w:r>
    </w:p>
    <w:p w14:paraId="16759752" w14:textId="77777777" w:rsidR="000B5D9C" w:rsidRPr="00ED3C1A" w:rsidRDefault="007C7717" w:rsidP="000B5D9C">
      <w:pPr>
        <w:shd w:val="clear" w:color="auto" w:fill="FFFFFF" w:themeFill="background1"/>
        <w:spacing w:after="0" w:line="240" w:lineRule="auto"/>
        <w:rPr>
          <w:rFonts w:ascii="Verdana" w:eastAsia="Times New Roman" w:hAnsi="Verdana" w:cs="Arial"/>
          <w:color w:val="3B3B3B"/>
          <w:sz w:val="18"/>
          <w:szCs w:val="18"/>
          <w:lang w:val="fr-FR" w:eastAsia="de-DE"/>
        </w:rPr>
      </w:pPr>
      <w:r w:rsidRPr="000B5D9C">
        <w:rPr>
          <w:rFonts w:ascii="Verdana" w:eastAsia="Times New Roman" w:hAnsi="Verdana" w:cs="Arial"/>
          <w:color w:val="3B3B3B"/>
          <w:sz w:val="18"/>
          <w:szCs w:val="18"/>
          <w:lang w:val="fr" w:eastAsia="de-DE"/>
        </w:rPr>
        <w:t xml:space="preserve">Cette année, </w:t>
      </w:r>
      <w:proofErr w:type="spellStart"/>
      <w:r w:rsidRPr="000B5D9C">
        <w:rPr>
          <w:rFonts w:ascii="Verdana" w:eastAsia="Times New Roman" w:hAnsi="Verdana" w:cs="Arial"/>
          <w:color w:val="3B3B3B"/>
          <w:sz w:val="18"/>
          <w:szCs w:val="18"/>
          <w:lang w:val="fr" w:eastAsia="de-DE"/>
        </w:rPr>
        <w:t>Aucotec</w:t>
      </w:r>
      <w:proofErr w:type="spellEnd"/>
      <w:r w:rsidRPr="000B5D9C">
        <w:rPr>
          <w:rFonts w:ascii="Verdana" w:eastAsia="Times New Roman" w:hAnsi="Verdana" w:cs="Arial"/>
          <w:color w:val="3B3B3B"/>
          <w:sz w:val="18"/>
          <w:szCs w:val="18"/>
          <w:lang w:val="fr" w:eastAsia="de-DE"/>
        </w:rPr>
        <w:t xml:space="preserve"> intégrera la définition du contrôle-commande conforme à la norme CEI 61850 directement dans Engineering Base et accomplira ainsi un véritable travail de pionnier unique au monde. La plateforme collaborative permet en effet de représenter l'ensemble du cycle de vie d'une sous-station dans un seul logiciel. « Nous créons ainsi du lien entre les univers du matériel et des logiciels, entre la technique secondaire et les systèmes de commande », explique Michaela Imbusch. </w:t>
      </w:r>
      <w:r w:rsidRPr="000B5D9C">
        <w:rPr>
          <w:rFonts w:ascii="Verdana" w:eastAsia="Times New Roman" w:hAnsi="Verdana" w:cs="Arial"/>
          <w:color w:val="3B3B3B"/>
          <w:sz w:val="18"/>
          <w:szCs w:val="18"/>
          <w:lang w:val="fr" w:eastAsia="de-DE"/>
        </w:rPr>
        <w:lastRenderedPageBreak/>
        <w:t xml:space="preserve">« Pour le dire simplement, la norme CEI 61850 constitue l'ADN des installations, et représente donc la numérisation à l'état pur. » </w:t>
      </w:r>
    </w:p>
    <w:p w14:paraId="383AF02B" w14:textId="77777777" w:rsidR="00D02A23" w:rsidRPr="00ED3C1A" w:rsidRDefault="00D02A23" w:rsidP="000B5D9C">
      <w:pPr>
        <w:shd w:val="clear" w:color="auto" w:fill="FFFFFF" w:themeFill="background1"/>
        <w:spacing w:after="0" w:line="240" w:lineRule="auto"/>
        <w:rPr>
          <w:rFonts w:ascii="Verdana" w:eastAsia="Times New Roman" w:hAnsi="Verdana" w:cs="Arial"/>
          <w:color w:val="3B3B3B"/>
          <w:sz w:val="18"/>
          <w:szCs w:val="18"/>
          <w:lang w:val="fr-FR" w:eastAsia="de-DE"/>
        </w:rPr>
      </w:pPr>
    </w:p>
    <w:p w14:paraId="481C711F" w14:textId="77777777" w:rsidR="000B5D9C" w:rsidRPr="00ED3C1A" w:rsidRDefault="007C7717" w:rsidP="000B5D9C">
      <w:pPr>
        <w:shd w:val="clear" w:color="auto" w:fill="FFFFFF" w:themeFill="background1"/>
        <w:spacing w:after="0" w:line="240" w:lineRule="auto"/>
        <w:rPr>
          <w:rFonts w:ascii="Verdana" w:eastAsia="Times New Roman" w:hAnsi="Verdana" w:cs="Arial"/>
          <w:color w:val="3B3B3B"/>
          <w:sz w:val="18"/>
          <w:szCs w:val="18"/>
          <w:lang w:val="fr-FR" w:eastAsia="de-DE"/>
        </w:rPr>
      </w:pPr>
      <w:r w:rsidRPr="000B5D9C">
        <w:rPr>
          <w:rFonts w:ascii="Verdana" w:eastAsia="Times New Roman" w:hAnsi="Verdana" w:cs="Arial"/>
          <w:color w:val="3B3B3B"/>
          <w:sz w:val="18"/>
          <w:szCs w:val="18"/>
          <w:lang w:val="fr" w:eastAsia="de-DE"/>
        </w:rPr>
        <w:t xml:space="preserve">De plus, Engineering Base est le seul système au monde capable d'appliquer dans les moindres détails toutes les normes internationales requises, des normes CEI 81346 et 81355 sur la structure des installations et des documents à la norme 61850 sur la description et la communication des appareils dans les sous-stations. </w:t>
      </w:r>
    </w:p>
    <w:p w14:paraId="062C8164" w14:textId="77777777" w:rsidR="004A78A0" w:rsidRPr="00ED3C1A" w:rsidRDefault="007C7717" w:rsidP="3B492FFB">
      <w:pPr>
        <w:shd w:val="clear" w:color="auto" w:fill="FFFFFF" w:themeFill="background1"/>
        <w:spacing w:after="0" w:line="240" w:lineRule="auto"/>
        <w:rPr>
          <w:rFonts w:ascii="Verdana" w:eastAsia="Times New Roman" w:hAnsi="Verdana" w:cs="Arial"/>
          <w:color w:val="3B3B3B"/>
          <w:sz w:val="18"/>
          <w:szCs w:val="18"/>
          <w:lang w:val="fr-FR" w:eastAsia="de-DE"/>
        </w:rPr>
      </w:pPr>
      <w:r w:rsidRPr="00ED3C1A">
        <w:rPr>
          <w:rFonts w:ascii="Verdana" w:eastAsia="Times New Roman" w:hAnsi="Verdana" w:cs="Arial"/>
          <w:color w:val="3B3B3B"/>
          <w:sz w:val="18"/>
          <w:szCs w:val="18"/>
          <w:lang w:val="fr-FR" w:eastAsia="de-DE"/>
        </w:rPr>
        <w:t xml:space="preserve"> </w:t>
      </w:r>
    </w:p>
    <w:p w14:paraId="746C859C" w14:textId="77777777" w:rsidR="008F1C4C" w:rsidRPr="00ED3C1A" w:rsidRDefault="007C7717" w:rsidP="008F1C4C">
      <w:pPr>
        <w:shd w:val="clear" w:color="auto" w:fill="FFFFFF"/>
        <w:spacing w:after="0" w:line="240" w:lineRule="auto"/>
        <w:rPr>
          <w:rFonts w:ascii="Verdana" w:eastAsia="Times New Roman" w:hAnsi="Verdana" w:cs="Arial"/>
          <w:b/>
          <w:bCs/>
          <w:color w:val="3B3B3B"/>
          <w:sz w:val="18"/>
          <w:szCs w:val="18"/>
          <w:lang w:val="fr-FR" w:eastAsia="de-DE"/>
        </w:rPr>
      </w:pPr>
      <w:r w:rsidRPr="008F1C4C">
        <w:rPr>
          <w:rFonts w:ascii="Verdana" w:eastAsia="Times New Roman" w:hAnsi="Verdana" w:cs="Arial"/>
          <w:b/>
          <w:bCs/>
          <w:color w:val="3B3B3B"/>
          <w:sz w:val="18"/>
          <w:szCs w:val="18"/>
          <w:lang w:val="fr" w:eastAsia="de-DE"/>
        </w:rPr>
        <w:t xml:space="preserve">Une liaison avec le système 3D </w:t>
      </w:r>
      <w:proofErr w:type="spellStart"/>
      <w:r w:rsidRPr="008F1C4C">
        <w:rPr>
          <w:rFonts w:ascii="Verdana" w:eastAsia="Times New Roman" w:hAnsi="Verdana" w:cs="Arial"/>
          <w:b/>
          <w:bCs/>
          <w:color w:val="3B3B3B"/>
          <w:sz w:val="18"/>
          <w:szCs w:val="18"/>
          <w:lang w:val="fr" w:eastAsia="de-DE"/>
        </w:rPr>
        <w:t>Primtech</w:t>
      </w:r>
      <w:proofErr w:type="spellEnd"/>
    </w:p>
    <w:p w14:paraId="024E98ED" w14:textId="77777777" w:rsidR="000B5D9C" w:rsidRPr="00ED3C1A" w:rsidRDefault="007C7717" w:rsidP="000B5D9C">
      <w:pPr>
        <w:shd w:val="clear" w:color="auto" w:fill="FFFFFF"/>
        <w:spacing w:after="0" w:line="240" w:lineRule="auto"/>
        <w:rPr>
          <w:rFonts w:ascii="Verdana" w:eastAsia="Times New Roman" w:hAnsi="Verdana" w:cs="Arial"/>
          <w:color w:val="3B3B3B"/>
          <w:sz w:val="18"/>
          <w:szCs w:val="18"/>
          <w:lang w:val="fr-FR" w:eastAsia="de-DE"/>
        </w:rPr>
      </w:pPr>
      <w:r w:rsidRPr="000B5D9C">
        <w:rPr>
          <w:rFonts w:ascii="Verdana" w:eastAsia="Times New Roman" w:hAnsi="Verdana" w:cs="Arial"/>
          <w:color w:val="3B3B3B"/>
          <w:sz w:val="18"/>
          <w:szCs w:val="18"/>
          <w:lang w:val="fr" w:eastAsia="de-DE"/>
        </w:rPr>
        <w:t xml:space="preserve">L'utilisation d'Engineering Base dans la technique primaire montre également que l'ingénierie intégrée est primordiale chez </w:t>
      </w:r>
      <w:proofErr w:type="spellStart"/>
      <w:r w:rsidRPr="000B5D9C">
        <w:rPr>
          <w:rFonts w:ascii="Verdana" w:eastAsia="Times New Roman" w:hAnsi="Verdana" w:cs="Arial"/>
          <w:color w:val="3B3B3B"/>
          <w:sz w:val="18"/>
          <w:szCs w:val="18"/>
          <w:lang w:val="fr" w:eastAsia="de-DE"/>
        </w:rPr>
        <w:t>Aucotec</w:t>
      </w:r>
      <w:proofErr w:type="spellEnd"/>
      <w:r w:rsidRPr="000B5D9C">
        <w:rPr>
          <w:rFonts w:ascii="Verdana" w:eastAsia="Times New Roman" w:hAnsi="Verdana" w:cs="Arial"/>
          <w:color w:val="3B3B3B"/>
          <w:sz w:val="18"/>
          <w:szCs w:val="18"/>
          <w:lang w:val="fr" w:eastAsia="de-DE"/>
        </w:rPr>
        <w:t> : la plateforme logicielle peut être utilisée dès le schéma unifilaire, le document de référence majeur de la technique primaire, ce qui fait que les techniciens secondaires peuvent commencer leur planification détaillée beaucoup plus rapidement, et de manière tout à fait intégrée, dès que le premier appareil est défini. Les utilisateurs n'ont donc plus besoin d'attendre que la planification primaire soit terminée, ou même de faire du travail en double. Ce n'est pas pour rien que le stand d'</w:t>
      </w:r>
      <w:proofErr w:type="spellStart"/>
      <w:r w:rsidRPr="000B5D9C">
        <w:rPr>
          <w:rFonts w:ascii="Verdana" w:eastAsia="Times New Roman" w:hAnsi="Verdana" w:cs="Arial"/>
          <w:color w:val="3B3B3B"/>
          <w:sz w:val="18"/>
          <w:szCs w:val="18"/>
          <w:lang w:val="fr" w:eastAsia="de-DE"/>
        </w:rPr>
        <w:t>Aucotec</w:t>
      </w:r>
      <w:proofErr w:type="spellEnd"/>
      <w:r w:rsidRPr="000B5D9C">
        <w:rPr>
          <w:rFonts w:ascii="Verdana" w:eastAsia="Times New Roman" w:hAnsi="Verdana" w:cs="Arial"/>
          <w:color w:val="3B3B3B"/>
          <w:sz w:val="18"/>
          <w:szCs w:val="18"/>
          <w:lang w:val="fr" w:eastAsia="de-DE"/>
        </w:rPr>
        <w:t xml:space="preserve"> au congrès CIGRE se trouve juste à côté de celui d'</w:t>
      </w:r>
      <w:proofErr w:type="spellStart"/>
      <w:r w:rsidRPr="000B5D9C">
        <w:rPr>
          <w:rFonts w:ascii="Verdana" w:eastAsia="Times New Roman" w:hAnsi="Verdana" w:cs="Arial"/>
          <w:color w:val="3B3B3B"/>
          <w:sz w:val="18"/>
          <w:szCs w:val="18"/>
          <w:lang w:val="fr" w:eastAsia="de-DE"/>
        </w:rPr>
        <w:t>Entegra</w:t>
      </w:r>
      <w:proofErr w:type="spellEnd"/>
      <w:r w:rsidRPr="000B5D9C">
        <w:rPr>
          <w:rFonts w:ascii="Verdana" w:eastAsia="Times New Roman" w:hAnsi="Verdana" w:cs="Arial"/>
          <w:color w:val="3B3B3B"/>
          <w:sz w:val="18"/>
          <w:szCs w:val="18"/>
          <w:lang w:val="fr" w:eastAsia="de-DE"/>
        </w:rPr>
        <w:t xml:space="preserve"> GmbH, car leur système 3D </w:t>
      </w:r>
      <w:proofErr w:type="spellStart"/>
      <w:r w:rsidRPr="000B5D9C">
        <w:rPr>
          <w:rFonts w:ascii="Verdana" w:eastAsia="Times New Roman" w:hAnsi="Verdana" w:cs="Arial"/>
          <w:color w:val="3B3B3B"/>
          <w:sz w:val="18"/>
          <w:szCs w:val="18"/>
          <w:lang w:val="fr" w:eastAsia="de-DE"/>
        </w:rPr>
        <w:t>Primtech</w:t>
      </w:r>
      <w:proofErr w:type="spellEnd"/>
      <w:r w:rsidRPr="000B5D9C">
        <w:rPr>
          <w:rFonts w:ascii="Verdana" w:eastAsia="Times New Roman" w:hAnsi="Verdana" w:cs="Arial"/>
          <w:color w:val="3B3B3B"/>
          <w:sz w:val="18"/>
          <w:szCs w:val="18"/>
          <w:lang w:val="fr" w:eastAsia="de-DE"/>
        </w:rPr>
        <w:t xml:space="preserve"> est en mesure d'échanger des données avec Engineering Base.</w:t>
      </w:r>
    </w:p>
    <w:p w14:paraId="1C4D7B44" w14:textId="77777777" w:rsidR="00D2145D" w:rsidRPr="00ED3C1A" w:rsidRDefault="00D2145D" w:rsidP="009207A6">
      <w:pPr>
        <w:shd w:val="clear" w:color="auto" w:fill="FFFFFF"/>
        <w:spacing w:after="0" w:line="240" w:lineRule="auto"/>
        <w:rPr>
          <w:rFonts w:ascii="Verdana" w:hAnsi="Verdana"/>
          <w:b/>
          <w:sz w:val="18"/>
          <w:szCs w:val="18"/>
          <w:lang w:val="fr-FR"/>
        </w:rPr>
      </w:pPr>
    </w:p>
    <w:p w14:paraId="637E97E6" w14:textId="77777777" w:rsidR="00D2145D" w:rsidRPr="00ED3C1A" w:rsidRDefault="00D2145D" w:rsidP="00C46BA4">
      <w:pPr>
        <w:spacing w:after="0" w:line="240" w:lineRule="auto"/>
        <w:rPr>
          <w:rFonts w:ascii="Verdana" w:hAnsi="Verdana"/>
          <w:b/>
          <w:sz w:val="18"/>
          <w:szCs w:val="18"/>
          <w:lang w:val="fr-FR"/>
        </w:rPr>
      </w:pPr>
    </w:p>
    <w:p w14:paraId="0A964C3E" w14:textId="77777777" w:rsidR="00B10412" w:rsidRPr="00ED3C1A" w:rsidRDefault="007C7717" w:rsidP="00C46BA4">
      <w:pPr>
        <w:spacing w:after="0" w:line="240" w:lineRule="auto"/>
        <w:rPr>
          <w:rFonts w:ascii="Verdana" w:hAnsi="Verdana"/>
          <w:b/>
          <w:sz w:val="18"/>
          <w:szCs w:val="18"/>
          <w:lang w:val="fr-FR"/>
        </w:rPr>
      </w:pPr>
      <w:r w:rsidRPr="008F2973">
        <w:rPr>
          <w:rFonts w:ascii="Verdana" w:hAnsi="Verdana"/>
          <w:b/>
          <w:sz w:val="18"/>
          <w:szCs w:val="18"/>
          <w:lang w:val="fr"/>
        </w:rPr>
        <w:t>Images* et leurs légendes :</w:t>
      </w:r>
    </w:p>
    <w:p w14:paraId="42F79966" w14:textId="77777777" w:rsidR="008F2973" w:rsidRPr="00ED3C1A" w:rsidRDefault="008F2973" w:rsidP="00C46BA4">
      <w:pPr>
        <w:spacing w:after="0" w:line="240" w:lineRule="auto"/>
        <w:rPr>
          <w:rFonts w:ascii="Verdana" w:hAnsi="Verdana"/>
          <w:sz w:val="18"/>
          <w:szCs w:val="18"/>
          <w:lang w:val="fr-FR"/>
        </w:rPr>
      </w:pPr>
    </w:p>
    <w:p w14:paraId="2FC4C4B5" w14:textId="07405E2E" w:rsidR="004C6DEE" w:rsidRPr="00ED3C1A" w:rsidRDefault="007C7717" w:rsidP="000A50AF">
      <w:pPr>
        <w:spacing w:after="0" w:line="240" w:lineRule="auto"/>
        <w:rPr>
          <w:rFonts w:ascii="Verdana" w:hAnsi="Verdana"/>
          <w:sz w:val="16"/>
          <w:szCs w:val="16"/>
          <w:lang w:val="fr-FR"/>
        </w:rPr>
      </w:pPr>
      <w:r>
        <w:rPr>
          <w:rFonts w:ascii="Verdana" w:hAnsi="Verdana"/>
          <w:noProof/>
          <w:sz w:val="16"/>
          <w:szCs w:val="16"/>
        </w:rPr>
        <w:drawing>
          <wp:inline distT="0" distB="0" distL="0" distR="0" wp14:anchorId="4B69CFA5" wp14:editId="354FCAFA">
            <wp:extent cx="1698990" cy="1132115"/>
            <wp:effectExtent l="0" t="0" r="0" b="0"/>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0754" cy="1139954"/>
                    </a:xfrm>
                    <a:prstGeom prst="rect">
                      <a:avLst/>
                    </a:prstGeom>
                    <a:noFill/>
                    <a:ln>
                      <a:noFill/>
                    </a:ln>
                  </pic:spPr>
                </pic:pic>
              </a:graphicData>
            </a:graphic>
          </wp:inline>
        </w:drawing>
      </w:r>
    </w:p>
    <w:p w14:paraId="2ABB27C0" w14:textId="7E54B5B5" w:rsidR="006B76F7" w:rsidRPr="00ED3C1A" w:rsidRDefault="00AE7F91" w:rsidP="000A50AF">
      <w:pPr>
        <w:spacing w:after="0" w:line="240" w:lineRule="auto"/>
        <w:rPr>
          <w:rFonts w:ascii="Verdana" w:eastAsia="Times New Roman" w:hAnsi="Verdana" w:cs="Arial"/>
          <w:color w:val="3B3B3B"/>
          <w:sz w:val="18"/>
          <w:szCs w:val="18"/>
          <w:lang w:val="fr-FR" w:eastAsia="de-DE"/>
        </w:rPr>
      </w:pPr>
      <w:r>
        <w:fldChar w:fldCharType="begin"/>
      </w:r>
      <w:r w:rsidRPr="00AE7F91">
        <w:rPr>
          <w:lang w:val="fr-FR"/>
        </w:rPr>
        <w:instrText>HYPERLINK "https://www.aucotec.com/fileadmin/user_upload/Company/Pressemitteilung/2024/6_2024/Michaela_Imbusch.jpg"</w:instrText>
      </w:r>
      <w:r>
        <w:fldChar w:fldCharType="separate"/>
      </w:r>
      <w:r w:rsidR="007C7717" w:rsidRPr="007C7717">
        <w:rPr>
          <w:rStyle w:val="Hyperlink"/>
          <w:rFonts w:ascii="Verdana" w:eastAsia="Times New Roman" w:hAnsi="Verdana" w:cs="Arial"/>
          <w:sz w:val="18"/>
          <w:szCs w:val="18"/>
          <w:lang w:val="fr" w:eastAsia="de-DE"/>
        </w:rPr>
        <w:t>Michaela Imbusch</w:t>
      </w:r>
      <w:r>
        <w:rPr>
          <w:rStyle w:val="Hyperlink"/>
          <w:rFonts w:ascii="Verdana" w:eastAsia="Times New Roman" w:hAnsi="Verdana" w:cs="Arial"/>
          <w:sz w:val="18"/>
          <w:szCs w:val="18"/>
          <w:lang w:val="fr" w:eastAsia="de-DE"/>
        </w:rPr>
        <w:fldChar w:fldCharType="end"/>
      </w:r>
      <w:r w:rsidR="007C7717" w:rsidRPr="00914912">
        <w:rPr>
          <w:rFonts w:ascii="Verdana" w:eastAsia="Times New Roman" w:hAnsi="Verdana" w:cs="Arial"/>
          <w:color w:val="3B3B3B"/>
          <w:sz w:val="18"/>
          <w:szCs w:val="18"/>
          <w:lang w:val="fr" w:eastAsia="de-DE"/>
        </w:rPr>
        <w:t xml:space="preserve">, responsable produit de l'activité Power Transmission &amp; Distribution chez </w:t>
      </w:r>
      <w:proofErr w:type="spellStart"/>
      <w:r w:rsidR="007C7717" w:rsidRPr="00914912">
        <w:rPr>
          <w:rFonts w:ascii="Verdana" w:eastAsia="Times New Roman" w:hAnsi="Verdana" w:cs="Arial"/>
          <w:color w:val="3B3B3B"/>
          <w:sz w:val="18"/>
          <w:szCs w:val="18"/>
          <w:lang w:val="fr" w:eastAsia="de-DE"/>
        </w:rPr>
        <w:t>Aucotec</w:t>
      </w:r>
      <w:proofErr w:type="spellEnd"/>
      <w:r w:rsidR="007C7717" w:rsidRPr="00914912">
        <w:rPr>
          <w:rFonts w:ascii="Verdana" w:eastAsia="Times New Roman" w:hAnsi="Verdana" w:cs="Arial"/>
          <w:color w:val="3B3B3B"/>
          <w:sz w:val="18"/>
          <w:szCs w:val="18"/>
          <w:lang w:val="fr" w:eastAsia="de-DE"/>
        </w:rPr>
        <w:t xml:space="preserve">. (Image : </w:t>
      </w:r>
      <w:proofErr w:type="spellStart"/>
      <w:r w:rsidR="007C7717" w:rsidRPr="00914912">
        <w:rPr>
          <w:rFonts w:ascii="Verdana" w:eastAsia="Times New Roman" w:hAnsi="Verdana" w:cs="Arial"/>
          <w:color w:val="3B3B3B"/>
          <w:sz w:val="18"/>
          <w:szCs w:val="18"/>
          <w:lang w:val="fr" w:eastAsia="de-DE"/>
        </w:rPr>
        <w:t>Aucotec</w:t>
      </w:r>
      <w:proofErr w:type="spellEnd"/>
      <w:r w:rsidR="007C7717" w:rsidRPr="00914912">
        <w:rPr>
          <w:rFonts w:ascii="Verdana" w:eastAsia="Times New Roman" w:hAnsi="Verdana" w:cs="Arial"/>
          <w:color w:val="3B3B3B"/>
          <w:sz w:val="18"/>
          <w:szCs w:val="18"/>
          <w:lang w:val="fr" w:eastAsia="de-DE"/>
        </w:rPr>
        <w:t xml:space="preserve"> AG)</w:t>
      </w:r>
    </w:p>
    <w:p w14:paraId="68F0BBFA" w14:textId="77777777" w:rsidR="008D2BFF" w:rsidRDefault="008D2BFF" w:rsidP="000A50AF">
      <w:pPr>
        <w:spacing w:after="0" w:line="240" w:lineRule="auto"/>
        <w:rPr>
          <w:rFonts w:ascii="Verdana" w:eastAsia="Times New Roman" w:hAnsi="Verdana" w:cs="Arial"/>
          <w:color w:val="3B3B3B"/>
          <w:sz w:val="18"/>
          <w:szCs w:val="18"/>
          <w:lang w:val="fr-FR" w:eastAsia="de-DE"/>
        </w:rPr>
      </w:pPr>
    </w:p>
    <w:p w14:paraId="05234A7F" w14:textId="35EDA58E" w:rsidR="007C7717" w:rsidRPr="00ED3C1A" w:rsidRDefault="007C7717" w:rsidP="000A50AF">
      <w:pPr>
        <w:spacing w:after="0" w:line="240" w:lineRule="auto"/>
        <w:rPr>
          <w:rFonts w:ascii="Verdana" w:eastAsia="Times New Roman" w:hAnsi="Verdana" w:cs="Arial"/>
          <w:color w:val="3B3B3B"/>
          <w:sz w:val="18"/>
          <w:szCs w:val="18"/>
          <w:lang w:val="fr-FR" w:eastAsia="de-DE"/>
        </w:rPr>
      </w:pPr>
      <w:r>
        <w:rPr>
          <w:rFonts w:ascii="Verdana" w:eastAsia="Times New Roman" w:hAnsi="Verdana" w:cs="Arial"/>
          <w:noProof/>
          <w:color w:val="3B3B3B"/>
          <w:sz w:val="18"/>
          <w:szCs w:val="18"/>
          <w:lang w:eastAsia="de-DE"/>
        </w:rPr>
        <w:drawing>
          <wp:inline distT="0" distB="0" distL="0" distR="0" wp14:anchorId="78F513FF" wp14:editId="6D0D0E8D">
            <wp:extent cx="1699200" cy="1327051"/>
            <wp:effectExtent l="0" t="0" r="0" b="6985"/>
            <wp:docPr id="8" name="Grafik 8">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9200" cy="1327051"/>
                    </a:xfrm>
                    <a:prstGeom prst="rect">
                      <a:avLst/>
                    </a:prstGeom>
                    <a:noFill/>
                    <a:ln>
                      <a:noFill/>
                    </a:ln>
                  </pic:spPr>
                </pic:pic>
              </a:graphicData>
            </a:graphic>
          </wp:inline>
        </w:drawing>
      </w:r>
    </w:p>
    <w:p w14:paraId="76684DBE" w14:textId="537A38BA" w:rsidR="008D2BFF" w:rsidRPr="00ED3C1A" w:rsidRDefault="00AE7F91" w:rsidP="008D2BFF">
      <w:pPr>
        <w:spacing w:after="0"/>
        <w:rPr>
          <w:rFonts w:ascii="Verdana" w:hAnsi="Verdana"/>
          <w:sz w:val="18"/>
          <w:szCs w:val="18"/>
          <w:lang w:val="fr-FR"/>
        </w:rPr>
      </w:pPr>
      <w:r>
        <w:fldChar w:fldCharType="begin"/>
      </w:r>
      <w:r w:rsidRPr="00AE7F91">
        <w:rPr>
          <w:lang w:val="fr-FR"/>
        </w:rPr>
        <w:instrText>HYPERLINK "https://www.aucotec.com/fileadmin/user_upload/Company/Pressemitteilung/2024/6_2024/Digital_Twin.jpg"</w:instrText>
      </w:r>
      <w:r>
        <w:fldChar w:fldCharType="separate"/>
      </w:r>
      <w:r w:rsidR="007C7717" w:rsidRPr="007C7717">
        <w:rPr>
          <w:rStyle w:val="Hyperlink"/>
          <w:rFonts w:ascii="Verdana" w:hAnsi="Verdana" w:cs="Draeger San"/>
          <w:sz w:val="18"/>
          <w:szCs w:val="18"/>
          <w:lang w:val="fr"/>
        </w:rPr>
        <w:t>Le schéma unifilaire dans Engineering Base </w:t>
      </w:r>
      <w:r>
        <w:rPr>
          <w:rStyle w:val="Hyperlink"/>
          <w:rFonts w:ascii="Verdana" w:hAnsi="Verdana" w:cs="Draeger San"/>
          <w:sz w:val="18"/>
          <w:szCs w:val="18"/>
          <w:lang w:val="fr"/>
        </w:rPr>
        <w:fldChar w:fldCharType="end"/>
      </w:r>
      <w:r w:rsidR="007C7717" w:rsidRPr="00594016">
        <w:rPr>
          <w:rFonts w:ascii="Verdana" w:hAnsi="Verdana" w:cs="Draeger San"/>
          <w:sz w:val="18"/>
          <w:szCs w:val="18"/>
          <w:lang w:val="fr"/>
        </w:rPr>
        <w:t xml:space="preserve">: si la technique primaire utilise également Engineering Base, il est possible de travailler de manière nettement plus efficace. Cela permet de faire grandir le jumeau numérique dès le début. (Image : </w:t>
      </w:r>
      <w:proofErr w:type="spellStart"/>
      <w:r w:rsidR="007C7717" w:rsidRPr="00594016">
        <w:rPr>
          <w:rFonts w:ascii="Verdana" w:hAnsi="Verdana" w:cs="Draeger San"/>
          <w:sz w:val="18"/>
          <w:szCs w:val="18"/>
          <w:lang w:val="fr"/>
        </w:rPr>
        <w:t>Aucotec</w:t>
      </w:r>
      <w:proofErr w:type="spellEnd"/>
      <w:r w:rsidR="007C7717" w:rsidRPr="00594016">
        <w:rPr>
          <w:rFonts w:ascii="Verdana" w:hAnsi="Verdana" w:cs="Draeger San"/>
          <w:sz w:val="18"/>
          <w:szCs w:val="18"/>
          <w:lang w:val="fr"/>
        </w:rPr>
        <w:t xml:space="preserve"> AG)</w:t>
      </w:r>
    </w:p>
    <w:p w14:paraId="1A7B6FC1" w14:textId="77777777" w:rsidR="008D2BFF" w:rsidRDefault="008D2BFF" w:rsidP="000A50AF">
      <w:pPr>
        <w:spacing w:after="0" w:line="240" w:lineRule="auto"/>
        <w:rPr>
          <w:rFonts w:ascii="Verdana" w:hAnsi="Verdana"/>
          <w:sz w:val="18"/>
          <w:szCs w:val="18"/>
          <w:lang w:val="fr-FR"/>
        </w:rPr>
      </w:pPr>
    </w:p>
    <w:p w14:paraId="655370CA" w14:textId="4D1AE374" w:rsidR="007C7717" w:rsidRPr="00ED3C1A" w:rsidRDefault="007C7717" w:rsidP="000A50AF">
      <w:pPr>
        <w:spacing w:after="0" w:line="240" w:lineRule="auto"/>
        <w:rPr>
          <w:rFonts w:ascii="Verdana" w:hAnsi="Verdana"/>
          <w:sz w:val="18"/>
          <w:szCs w:val="18"/>
          <w:lang w:val="fr-FR"/>
        </w:rPr>
      </w:pPr>
      <w:r>
        <w:rPr>
          <w:rFonts w:ascii="Verdana" w:hAnsi="Verdana"/>
          <w:noProof/>
          <w:sz w:val="16"/>
          <w:szCs w:val="16"/>
          <w:lang w:eastAsia="zh-CN"/>
        </w:rPr>
        <w:drawing>
          <wp:inline distT="0" distB="0" distL="0" distR="0" wp14:anchorId="1B94AC77" wp14:editId="31A9041C">
            <wp:extent cx="1699200" cy="955004"/>
            <wp:effectExtent l="0" t="0" r="0" b="0"/>
            <wp:docPr id="11" name="Grafik 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9200" cy="955004"/>
                    </a:xfrm>
                    <a:prstGeom prst="rect">
                      <a:avLst/>
                    </a:prstGeom>
                    <a:noFill/>
                    <a:ln>
                      <a:noFill/>
                    </a:ln>
                  </pic:spPr>
                </pic:pic>
              </a:graphicData>
            </a:graphic>
          </wp:inline>
        </w:drawing>
      </w:r>
    </w:p>
    <w:p w14:paraId="0C7B112A" w14:textId="11D128A5" w:rsidR="008D2BFF" w:rsidRPr="00ED3C1A" w:rsidRDefault="007C7717" w:rsidP="008D2BFF">
      <w:pPr>
        <w:spacing w:after="0" w:line="240" w:lineRule="auto"/>
        <w:rPr>
          <w:rFonts w:ascii="Verdana" w:hAnsi="Verdana"/>
          <w:sz w:val="18"/>
          <w:szCs w:val="18"/>
          <w:lang w:val="fr-FR"/>
        </w:rPr>
      </w:pPr>
      <w:r w:rsidRPr="00594016">
        <w:rPr>
          <w:rFonts w:ascii="Verdana" w:hAnsi="Verdana"/>
          <w:sz w:val="18"/>
          <w:szCs w:val="18"/>
          <w:lang w:val="fr"/>
        </w:rPr>
        <w:t>Voilà l'essence d'</w:t>
      </w:r>
      <w:r w:rsidR="00AE7F91">
        <w:fldChar w:fldCharType="begin"/>
      </w:r>
      <w:r w:rsidR="00AE7F91" w:rsidRPr="00AE7F91">
        <w:rPr>
          <w:lang w:val="fr-FR"/>
        </w:rPr>
        <w:instrText>HYPERLINK "https://www.aucotec.com/fileadmin/user_upload/Company/Pressemitteilung/2024/6_2024/Energy_Keyvisual.png"</w:instrText>
      </w:r>
      <w:r w:rsidR="00AE7F91">
        <w:fldChar w:fldCharType="separate"/>
      </w:r>
      <w:r w:rsidRPr="007C7717">
        <w:rPr>
          <w:rStyle w:val="Hyperlink"/>
          <w:rFonts w:ascii="Verdana" w:hAnsi="Verdana" w:cstheme="minorBidi"/>
          <w:sz w:val="18"/>
          <w:szCs w:val="18"/>
          <w:lang w:val="fr"/>
        </w:rPr>
        <w:t>Engineering Base</w:t>
      </w:r>
      <w:r w:rsidR="00AE7F91">
        <w:rPr>
          <w:rStyle w:val="Hyperlink"/>
          <w:rFonts w:ascii="Verdana" w:hAnsi="Verdana" w:cstheme="minorBidi"/>
          <w:sz w:val="18"/>
          <w:szCs w:val="18"/>
          <w:lang w:val="fr"/>
        </w:rPr>
        <w:fldChar w:fldCharType="end"/>
      </w:r>
      <w:r w:rsidRPr="00594016">
        <w:rPr>
          <w:rFonts w:ascii="Verdana" w:hAnsi="Verdana"/>
          <w:sz w:val="18"/>
          <w:szCs w:val="18"/>
          <w:lang w:val="fr"/>
        </w:rPr>
        <w:t xml:space="preserve"> : toutes les disciplines, y compris les systèmes de protection et de commande, ont accès au modèle de données consolidé, ce qui permet de disposer de données cohérentes et à jour, et d'un environnement outils et systèmes considérablement allégé. (Image : </w:t>
      </w:r>
      <w:proofErr w:type="spellStart"/>
      <w:r w:rsidRPr="00594016">
        <w:rPr>
          <w:rFonts w:ascii="Verdana" w:hAnsi="Verdana"/>
          <w:sz w:val="18"/>
          <w:szCs w:val="18"/>
          <w:lang w:val="fr"/>
        </w:rPr>
        <w:t>Aucotec</w:t>
      </w:r>
      <w:proofErr w:type="spellEnd"/>
      <w:r w:rsidRPr="00594016">
        <w:rPr>
          <w:rFonts w:ascii="Verdana" w:hAnsi="Verdana"/>
          <w:sz w:val="18"/>
          <w:szCs w:val="18"/>
          <w:lang w:val="fr"/>
        </w:rPr>
        <w:t xml:space="preserve"> AG)</w:t>
      </w:r>
    </w:p>
    <w:p w14:paraId="684E27C3" w14:textId="77777777" w:rsidR="008D2BFF" w:rsidRPr="00ED3C1A" w:rsidRDefault="008D2BFF" w:rsidP="000A50AF">
      <w:pPr>
        <w:spacing w:after="0" w:line="240" w:lineRule="auto"/>
        <w:rPr>
          <w:rFonts w:ascii="Verdana" w:hAnsi="Verdana"/>
          <w:sz w:val="16"/>
          <w:szCs w:val="16"/>
          <w:lang w:val="fr-FR"/>
        </w:rPr>
      </w:pPr>
    </w:p>
    <w:p w14:paraId="195843D3" w14:textId="77777777" w:rsidR="008B6F2D" w:rsidRPr="00ED3C1A" w:rsidRDefault="008B6F2D" w:rsidP="008B6F2D">
      <w:pPr>
        <w:spacing w:after="0" w:line="240" w:lineRule="auto"/>
        <w:rPr>
          <w:rFonts w:ascii="Verdana" w:hAnsi="Verdana" w:cs="Draeger San"/>
          <w:sz w:val="16"/>
          <w:szCs w:val="16"/>
          <w:lang w:val="fr-FR"/>
        </w:rPr>
      </w:pPr>
    </w:p>
    <w:p w14:paraId="6A2EC347" w14:textId="77777777" w:rsidR="00C4402B" w:rsidRPr="00ED3C1A" w:rsidRDefault="00C4402B" w:rsidP="008B6F2D">
      <w:pPr>
        <w:spacing w:after="0" w:line="240" w:lineRule="auto"/>
        <w:rPr>
          <w:rFonts w:ascii="Verdana" w:hAnsi="Verdana"/>
          <w:sz w:val="16"/>
          <w:szCs w:val="16"/>
          <w:lang w:val="fr-FR"/>
        </w:rPr>
      </w:pPr>
    </w:p>
    <w:p w14:paraId="1F065B87" w14:textId="77777777" w:rsidR="008B6F2D" w:rsidRPr="00ED3C1A" w:rsidRDefault="008B6F2D" w:rsidP="00C46BA4">
      <w:pPr>
        <w:spacing w:after="0" w:line="240" w:lineRule="auto"/>
        <w:rPr>
          <w:rFonts w:ascii="Verdana" w:hAnsi="Verdana"/>
          <w:sz w:val="18"/>
          <w:szCs w:val="18"/>
          <w:lang w:val="fr-FR"/>
        </w:rPr>
      </w:pPr>
    </w:p>
    <w:p w14:paraId="51F210A0" w14:textId="77777777" w:rsidR="00A63359" w:rsidRPr="00ED3C1A" w:rsidRDefault="00A63359" w:rsidP="00A63359">
      <w:pPr>
        <w:spacing w:after="0" w:line="240" w:lineRule="auto"/>
        <w:rPr>
          <w:rFonts w:ascii="Verdana" w:hAnsi="Verdana"/>
          <w:sz w:val="16"/>
          <w:szCs w:val="16"/>
          <w:lang w:val="fr-FR"/>
        </w:rPr>
      </w:pPr>
    </w:p>
    <w:p w14:paraId="4E74A802" w14:textId="77777777" w:rsidR="00A63359" w:rsidRPr="00ED3C1A" w:rsidRDefault="007C7717" w:rsidP="00A63359">
      <w:pPr>
        <w:spacing w:after="0" w:line="240" w:lineRule="auto"/>
        <w:rPr>
          <w:rFonts w:ascii="Verdana" w:hAnsi="Verdana"/>
          <w:sz w:val="16"/>
          <w:szCs w:val="16"/>
          <w:lang w:val="fr-FR"/>
        </w:rPr>
      </w:pPr>
      <w:r>
        <w:rPr>
          <w:rFonts w:ascii="Verdana" w:hAnsi="Verdana"/>
          <w:sz w:val="16"/>
          <w:szCs w:val="16"/>
          <w:lang w:val="fr"/>
        </w:rPr>
        <w:t xml:space="preserve">* Ces images sont protégées par le droit d’auteur. Elles peuvent être utilisées à des fins rédactionnelles en rapport avec </w:t>
      </w:r>
      <w:proofErr w:type="spellStart"/>
      <w:r>
        <w:rPr>
          <w:rFonts w:ascii="Verdana" w:hAnsi="Verdana"/>
          <w:sz w:val="16"/>
          <w:szCs w:val="16"/>
          <w:lang w:val="fr"/>
        </w:rPr>
        <w:t>Aucotec</w:t>
      </w:r>
      <w:proofErr w:type="spellEnd"/>
      <w:r>
        <w:rPr>
          <w:rFonts w:ascii="Verdana" w:hAnsi="Verdana"/>
          <w:sz w:val="16"/>
          <w:szCs w:val="16"/>
          <w:lang w:val="fr"/>
        </w:rPr>
        <w:t>.</w:t>
      </w:r>
    </w:p>
    <w:p w14:paraId="6C5E456B" w14:textId="77777777" w:rsidR="00C4037B" w:rsidRPr="00ED3C1A" w:rsidRDefault="00C4037B" w:rsidP="00C46BA4">
      <w:pPr>
        <w:spacing w:after="0" w:line="240" w:lineRule="auto"/>
        <w:rPr>
          <w:rFonts w:ascii="Verdana" w:hAnsi="Verdana"/>
          <w:sz w:val="16"/>
          <w:szCs w:val="16"/>
          <w:lang w:val="fr-FR"/>
        </w:rPr>
      </w:pPr>
    </w:p>
    <w:p w14:paraId="7799FAE6" w14:textId="77777777" w:rsidR="008F2973" w:rsidRPr="00ED3C1A" w:rsidRDefault="008F2973" w:rsidP="00C46BA4">
      <w:pPr>
        <w:spacing w:after="0" w:line="240" w:lineRule="auto"/>
        <w:rPr>
          <w:rFonts w:ascii="Verdana" w:hAnsi="Verdana" w:cs="Draeger San"/>
          <w:color w:val="000000"/>
          <w:sz w:val="19"/>
          <w:szCs w:val="19"/>
          <w:lang w:val="fr-FR"/>
        </w:rPr>
      </w:pPr>
    </w:p>
    <w:p w14:paraId="693B5272" w14:textId="77777777" w:rsidR="007E32B5" w:rsidRPr="00ED3C1A" w:rsidRDefault="007C7717" w:rsidP="007E32B5">
      <w:pPr>
        <w:spacing w:after="0" w:line="240" w:lineRule="auto"/>
        <w:rPr>
          <w:rFonts w:ascii="Verdana" w:hAnsi="Verdana"/>
          <w:sz w:val="16"/>
          <w:szCs w:val="16"/>
          <w:lang w:val="fr-FR"/>
        </w:rPr>
      </w:pPr>
      <w:r>
        <w:rPr>
          <w:rFonts w:ascii="Verdana" w:hAnsi="Verdana"/>
          <w:sz w:val="16"/>
          <w:szCs w:val="16"/>
          <w:lang w:val="fr"/>
        </w:rPr>
        <w:t>___________________________________________________________________________</w:t>
      </w:r>
    </w:p>
    <w:p w14:paraId="23D6DA39" w14:textId="77777777" w:rsidR="007E32B5" w:rsidRPr="00ED3C1A" w:rsidRDefault="007C7717" w:rsidP="007E32B5">
      <w:pPr>
        <w:spacing w:after="0" w:line="240" w:lineRule="auto"/>
        <w:rPr>
          <w:rFonts w:ascii="Verdana" w:hAnsi="Verdana"/>
          <w:sz w:val="16"/>
          <w:szCs w:val="16"/>
          <w:lang w:val="fr-FR"/>
        </w:rPr>
      </w:pPr>
      <w:r>
        <w:rPr>
          <w:rFonts w:ascii="Verdana" w:hAnsi="Verdana"/>
          <w:sz w:val="16"/>
          <w:szCs w:val="16"/>
          <w:lang w:val="fr"/>
        </w:rPr>
        <w:t xml:space="preserve">Depuis plus de 35 ans, la société </w:t>
      </w:r>
      <w:r w:rsidR="00AE7F91">
        <w:fldChar w:fldCharType="begin"/>
      </w:r>
      <w:r w:rsidR="00AE7F91" w:rsidRPr="00AE7F91">
        <w:rPr>
          <w:lang w:val="fr-FR"/>
        </w:rPr>
        <w:instrText>HYPERLINK "https://www.aucotec.com/"</w:instrText>
      </w:r>
      <w:r w:rsidR="00AE7F91">
        <w:fldChar w:fldCharType="separate"/>
      </w:r>
      <w:proofErr w:type="spellStart"/>
      <w:r w:rsidRPr="007E32B5">
        <w:rPr>
          <w:rStyle w:val="Hyperlink"/>
          <w:rFonts w:ascii="Verdana" w:hAnsi="Verdana"/>
          <w:b/>
          <w:sz w:val="16"/>
          <w:szCs w:val="16"/>
          <w:lang w:val="fr"/>
        </w:rPr>
        <w:t>Aucotec</w:t>
      </w:r>
      <w:proofErr w:type="spellEnd"/>
      <w:r w:rsidRPr="007E32B5">
        <w:rPr>
          <w:rStyle w:val="Hyperlink"/>
          <w:rFonts w:ascii="Verdana" w:hAnsi="Verdana"/>
          <w:b/>
          <w:sz w:val="16"/>
          <w:szCs w:val="16"/>
          <w:lang w:val="fr"/>
        </w:rPr>
        <w:t> AG</w:t>
      </w:r>
      <w:r w:rsidR="00AE7F91">
        <w:rPr>
          <w:rStyle w:val="Hyperlink"/>
          <w:rFonts w:ascii="Verdana" w:hAnsi="Verdana"/>
          <w:b/>
          <w:sz w:val="16"/>
          <w:szCs w:val="16"/>
          <w:lang w:val="fr"/>
        </w:rPr>
        <w:fldChar w:fldCharType="end"/>
      </w:r>
      <w:r>
        <w:rPr>
          <w:rFonts w:ascii="Verdana" w:hAnsi="Verdana"/>
          <w:sz w:val="16"/>
          <w:szCs w:val="16"/>
          <w:lang w:val="fr"/>
        </w:rPr>
        <w:t xml:space="preserve"> développe un logiciel d’ingénierie permettant de gérer l’ensemble du cycle de vie des machines, des installations et des systèmes mobiles. Les solutions offertes s’étendent des schémas aux faisceaux de câbles modulaires pour l’industrie automobile, en passant par les systèmes de commande et le génie électrique pour de grandes installations. Le logiciel </w:t>
      </w:r>
      <w:proofErr w:type="spellStart"/>
      <w:r>
        <w:rPr>
          <w:rFonts w:ascii="Verdana" w:hAnsi="Verdana"/>
          <w:sz w:val="16"/>
          <w:szCs w:val="16"/>
          <w:lang w:val="fr"/>
        </w:rPr>
        <w:t>Aucotec</w:t>
      </w:r>
      <w:proofErr w:type="spellEnd"/>
      <w:r>
        <w:rPr>
          <w:rFonts w:ascii="Verdana" w:hAnsi="Verdana"/>
          <w:sz w:val="16"/>
          <w:szCs w:val="16"/>
          <w:lang w:val="fr"/>
        </w:rPr>
        <w:t xml:space="preserve"> est utilisé dans le monde entier. Outre le siège social situé près de Hanovre, le groupe </w:t>
      </w:r>
      <w:proofErr w:type="spellStart"/>
      <w:r>
        <w:rPr>
          <w:rFonts w:ascii="Verdana" w:hAnsi="Verdana"/>
          <w:sz w:val="16"/>
          <w:szCs w:val="16"/>
          <w:lang w:val="fr"/>
        </w:rPr>
        <w:t>Aucotec</w:t>
      </w:r>
      <w:proofErr w:type="spellEnd"/>
      <w:r>
        <w:rPr>
          <w:rFonts w:ascii="Verdana" w:hAnsi="Verdana"/>
          <w:sz w:val="16"/>
          <w:szCs w:val="16"/>
          <w:lang w:val="fr"/>
        </w:rPr>
        <w:t xml:space="preserve"> compte six autres sites en Allemagne ainsi que des filiales en Chine, en Inde, en Malaisie, en Corée du Sud, aux Pays-Bas, en France, en Italie, en Autriche, en Pologne, en Suède, en Norvège et aux États-Unis. Un réseau international de partenaires garantit une assistance locale partout dans le monde.</w:t>
      </w:r>
      <w:r>
        <w:rPr>
          <w:rFonts w:ascii="Verdana" w:hAnsi="Verdana"/>
          <w:sz w:val="16"/>
          <w:szCs w:val="16"/>
          <w:lang w:val="fr"/>
        </w:rPr>
        <w:br/>
      </w:r>
    </w:p>
    <w:p w14:paraId="047E8B63" w14:textId="77777777" w:rsidR="00E87197" w:rsidRPr="00ED3C1A" w:rsidRDefault="00E87197" w:rsidP="007E32B5">
      <w:pPr>
        <w:spacing w:after="0" w:line="240" w:lineRule="auto"/>
        <w:rPr>
          <w:rFonts w:ascii="Verdana" w:hAnsi="Verdana"/>
          <w:sz w:val="16"/>
          <w:szCs w:val="16"/>
          <w:lang w:val="fr-FR"/>
        </w:rPr>
      </w:pPr>
    </w:p>
    <w:p w14:paraId="05B5FDCE" w14:textId="77777777" w:rsidR="007E32B5" w:rsidRPr="00ED3C1A" w:rsidRDefault="007C7717" w:rsidP="007E32B5">
      <w:pPr>
        <w:spacing w:after="0" w:line="240" w:lineRule="auto"/>
        <w:rPr>
          <w:lang w:val="fr-FR"/>
        </w:rPr>
      </w:pPr>
      <w:r>
        <w:rPr>
          <w:rFonts w:ascii="Verdana" w:hAnsi="Verdana"/>
          <w:sz w:val="16"/>
          <w:szCs w:val="16"/>
          <w:lang w:val="fr"/>
        </w:rPr>
        <w:t>En cas de reproduction, nous demandons un exemplaire justificatif. Sincères remerciements !</w:t>
      </w:r>
    </w:p>
    <w:p w14:paraId="31D67B17" w14:textId="77777777" w:rsidR="007E32B5" w:rsidRPr="00ED3C1A" w:rsidRDefault="007E32B5" w:rsidP="007E32B5">
      <w:pPr>
        <w:spacing w:after="0" w:line="240" w:lineRule="auto"/>
        <w:rPr>
          <w:lang w:val="fr-FR"/>
        </w:rPr>
      </w:pPr>
    </w:p>
    <w:p w14:paraId="0C3CDE20" w14:textId="77777777" w:rsidR="007C0A97" w:rsidRPr="00ED3C1A" w:rsidRDefault="007C7717" w:rsidP="007E32B5">
      <w:pPr>
        <w:spacing w:after="0" w:line="240" w:lineRule="auto"/>
        <w:rPr>
          <w:rFonts w:ascii="Verdana" w:hAnsi="Verdana"/>
          <w:b/>
          <w:bCs/>
          <w:sz w:val="16"/>
          <w:szCs w:val="16"/>
          <w:lang w:val="fr-FR"/>
        </w:rPr>
      </w:pPr>
      <w:r w:rsidRPr="009207A6">
        <w:rPr>
          <w:rFonts w:ascii="Verdana" w:hAnsi="Verdana"/>
          <w:b/>
          <w:bCs/>
          <w:sz w:val="16"/>
          <w:szCs w:val="16"/>
          <w:lang w:val="fr"/>
        </w:rPr>
        <w:t>Contact :</w:t>
      </w:r>
      <w:r w:rsidRPr="009207A6">
        <w:rPr>
          <w:rFonts w:ascii="Verdana" w:hAnsi="Verdana"/>
          <w:b/>
          <w:bCs/>
          <w:sz w:val="16"/>
          <w:szCs w:val="16"/>
          <w:lang w:val="fr"/>
        </w:rPr>
        <w:br/>
      </w:r>
    </w:p>
    <w:p w14:paraId="16223104" w14:textId="77777777" w:rsidR="007E32B5" w:rsidRPr="00ED3C1A" w:rsidRDefault="007C7717" w:rsidP="007E32B5">
      <w:pPr>
        <w:spacing w:after="0" w:line="240" w:lineRule="auto"/>
        <w:rPr>
          <w:rFonts w:ascii="Verdana" w:hAnsi="Verdana"/>
          <w:sz w:val="16"/>
          <w:szCs w:val="16"/>
          <w:lang w:val="fr-FR"/>
        </w:rPr>
      </w:pPr>
      <w:r>
        <w:rPr>
          <w:rFonts w:ascii="Verdana" w:hAnsi="Verdana"/>
          <w:b/>
          <w:sz w:val="16"/>
          <w:szCs w:val="16"/>
          <w:lang w:val="fr"/>
        </w:rPr>
        <w:t>AUCOTEC AG</w:t>
      </w:r>
      <w:r>
        <w:rPr>
          <w:rFonts w:ascii="Verdana" w:hAnsi="Verdana"/>
          <w:sz w:val="16"/>
          <w:szCs w:val="16"/>
          <w:lang w:val="fr"/>
        </w:rPr>
        <w:t xml:space="preserve">, </w:t>
      </w:r>
      <w:proofErr w:type="spellStart"/>
      <w:r>
        <w:rPr>
          <w:rFonts w:ascii="Verdana" w:hAnsi="Verdana"/>
          <w:sz w:val="16"/>
          <w:szCs w:val="16"/>
          <w:lang w:val="fr"/>
        </w:rPr>
        <w:t>Hannoversche</w:t>
      </w:r>
      <w:proofErr w:type="spellEnd"/>
      <w:r>
        <w:rPr>
          <w:rFonts w:ascii="Verdana" w:hAnsi="Verdana"/>
          <w:sz w:val="16"/>
          <w:szCs w:val="16"/>
          <w:lang w:val="fr"/>
        </w:rPr>
        <w:t xml:space="preserve"> </w:t>
      </w:r>
      <w:proofErr w:type="spellStart"/>
      <w:r>
        <w:rPr>
          <w:rFonts w:ascii="Verdana" w:hAnsi="Verdana"/>
          <w:sz w:val="16"/>
          <w:szCs w:val="16"/>
          <w:lang w:val="fr"/>
        </w:rPr>
        <w:t>Straße</w:t>
      </w:r>
      <w:proofErr w:type="spellEnd"/>
      <w:r>
        <w:rPr>
          <w:rFonts w:ascii="Verdana" w:hAnsi="Verdana"/>
          <w:sz w:val="16"/>
          <w:szCs w:val="16"/>
          <w:lang w:val="fr"/>
        </w:rPr>
        <w:t xml:space="preserve"> 105, 30916 Isernhagen, Allemagne, www.aucotec.com </w:t>
      </w:r>
    </w:p>
    <w:p w14:paraId="38BF338E" w14:textId="77777777" w:rsidR="003C6583" w:rsidRPr="00ED3C1A" w:rsidRDefault="007C7717" w:rsidP="007E32B5">
      <w:pPr>
        <w:spacing w:after="0" w:line="240" w:lineRule="auto"/>
        <w:rPr>
          <w:rFonts w:ascii="Verdana" w:hAnsi="Verdana"/>
          <w:sz w:val="16"/>
          <w:szCs w:val="16"/>
          <w:lang w:val="fr-FR"/>
        </w:rPr>
      </w:pPr>
      <w:r w:rsidRPr="363E0769">
        <w:rPr>
          <w:rFonts w:ascii="Verdana" w:hAnsi="Verdana"/>
          <w:sz w:val="16"/>
          <w:szCs w:val="16"/>
          <w:lang w:val="fr"/>
        </w:rPr>
        <w:t>Relations publiques, Arne Peters (</w:t>
      </w:r>
      <w:hyperlink r:id="rId14" w:history="1">
        <w:r w:rsidR="00EC7C77" w:rsidRPr="363E0769">
          <w:rPr>
            <w:rStyle w:val="Hyperlink"/>
            <w:rFonts w:ascii="Verdana" w:hAnsi="Verdana" w:cstheme="minorBidi"/>
            <w:sz w:val="16"/>
            <w:szCs w:val="16"/>
            <w:lang w:val="fr"/>
          </w:rPr>
          <w:t>arne.peters@aucotec.com</w:t>
        </w:r>
      </w:hyperlink>
      <w:r w:rsidRPr="363E0769">
        <w:rPr>
          <w:rFonts w:ascii="Verdana" w:hAnsi="Verdana"/>
          <w:sz w:val="16"/>
          <w:szCs w:val="16"/>
          <w:lang w:val="fr"/>
        </w:rPr>
        <w:t xml:space="preserve"> +49(0)511-6103192</w:t>
      </w:r>
      <w:r w:rsidRPr="363E0769">
        <w:rPr>
          <w:rFonts w:ascii="Verdana" w:hAnsi="Verdana"/>
          <w:sz w:val="18"/>
          <w:szCs w:val="18"/>
          <w:lang w:val="fr"/>
        </w:rPr>
        <w:t>)</w:t>
      </w:r>
    </w:p>
    <w:p w14:paraId="1A29A4E8" w14:textId="77777777" w:rsidR="007761DD" w:rsidRPr="00ED3C1A" w:rsidRDefault="007761DD" w:rsidP="007761DD">
      <w:pPr>
        <w:spacing w:after="0" w:line="240" w:lineRule="auto"/>
        <w:rPr>
          <w:rFonts w:ascii="Verdana" w:hAnsi="Verdana"/>
          <w:sz w:val="16"/>
          <w:szCs w:val="16"/>
          <w:lang w:val="fr-FR"/>
        </w:rPr>
      </w:pPr>
    </w:p>
    <w:p w14:paraId="4AA81559" w14:textId="77777777" w:rsidR="00C336BC" w:rsidRPr="00ED3C1A" w:rsidRDefault="00C336BC" w:rsidP="007761DD">
      <w:pPr>
        <w:spacing w:after="0" w:line="240" w:lineRule="auto"/>
        <w:rPr>
          <w:rFonts w:ascii="Verdana" w:hAnsi="Verdana"/>
          <w:sz w:val="16"/>
          <w:szCs w:val="16"/>
          <w:lang w:val="fr-FR"/>
        </w:rPr>
      </w:pPr>
    </w:p>
    <w:p w14:paraId="2D47D299" w14:textId="77777777" w:rsidR="00C336BC" w:rsidRPr="00ED3C1A" w:rsidRDefault="00C336BC" w:rsidP="007761DD">
      <w:pPr>
        <w:spacing w:after="0" w:line="240" w:lineRule="auto"/>
        <w:rPr>
          <w:rFonts w:ascii="Verdana" w:hAnsi="Verdana"/>
          <w:sz w:val="16"/>
          <w:szCs w:val="16"/>
          <w:lang w:val="fr-FR"/>
        </w:rPr>
      </w:pPr>
    </w:p>
    <w:p w14:paraId="3766F433" w14:textId="77777777" w:rsidR="00C336BC" w:rsidRPr="00ED3C1A" w:rsidRDefault="00C336BC" w:rsidP="007761DD">
      <w:pPr>
        <w:spacing w:after="0" w:line="240" w:lineRule="auto"/>
        <w:rPr>
          <w:rFonts w:ascii="Verdana" w:hAnsi="Verdana"/>
          <w:sz w:val="16"/>
          <w:szCs w:val="16"/>
          <w:lang w:val="fr-FR"/>
        </w:rPr>
      </w:pPr>
    </w:p>
    <w:sectPr w:rsidR="00C336BC" w:rsidRPr="00ED3C1A" w:rsidSect="00ED2066">
      <w:headerReference w:type="default" r:id="rId15"/>
      <w:footerReference w:type="default" r:id="rId16"/>
      <w:headerReference w:type="first" r:id="rId17"/>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2F86" w14:textId="77777777" w:rsidR="007C7717" w:rsidRDefault="007C7717">
      <w:pPr>
        <w:spacing w:after="0" w:line="240" w:lineRule="auto"/>
      </w:pPr>
      <w:r>
        <w:separator/>
      </w:r>
    </w:p>
  </w:endnote>
  <w:endnote w:type="continuationSeparator" w:id="0">
    <w:p w14:paraId="3D05401C" w14:textId="77777777" w:rsidR="007C7717" w:rsidRDefault="007C7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64B0" w14:textId="77777777" w:rsidR="00DB3364" w:rsidRDefault="007C7717">
    <w:pPr>
      <w:pStyle w:val="Fuzeile"/>
    </w:pPr>
    <w:r>
      <w:rPr>
        <w:noProof/>
        <w:lang w:eastAsia="de-DE"/>
      </w:rPr>
      <mc:AlternateContent>
        <mc:Choice Requires="wps">
          <w:drawing>
            <wp:anchor distT="45720" distB="45720" distL="114300" distR="114300" simplePos="0" relativeHeight="251661312" behindDoc="0" locked="0" layoutInCell="1" allowOverlap="1" wp14:anchorId="33201663" wp14:editId="7107A688">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4FC4A88" w14:textId="77777777" w:rsidR="00DB3364" w:rsidRPr="00254B77" w:rsidRDefault="007C7717"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33201663"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34FC4A88" w14:textId="77777777" w:rsidR="00DB3364" w:rsidRPr="00254B77" w:rsidRDefault="007C7717" w:rsidP="00DB3364">
                    <w:pPr>
                      <w:jc w:val="right"/>
                      <w:rPr>
                        <w:rFonts w:ascii="Titillium" w:hAnsi="Titillium"/>
                        <w:sz w:val="24"/>
                        <w:szCs w:val="24"/>
                      </w:rPr>
                    </w:pPr>
                    <w:r w:rsidRPr="00254B77">
                      <w:rPr>
                        <w:rFonts w:ascii="Titillium" w:hAnsi="Titillium"/>
                        <w:color w:val="0095DB"/>
                        <w:sz w:val="24"/>
                        <w:szCs w:val="24"/>
                        <w:lang w:val="fr"/>
                      </w:rPr>
                      <w:t>Site web</w:t>
                    </w:r>
                    <w:r w:rsidRPr="00254B77">
                      <w:rPr>
                        <w:rFonts w:ascii="Titillium" w:hAnsi="Titillium"/>
                        <w:color w:val="FFFFFF" w:themeColor="background1"/>
                        <w:sz w:val="24"/>
                        <w:szCs w:val="24"/>
                        <w:lang w:val="fr"/>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4D8CB60D" wp14:editId="2A30FA4C">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3360"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ABF8D" w14:textId="77777777" w:rsidR="007C7717" w:rsidRDefault="007C7717">
      <w:pPr>
        <w:spacing w:after="0" w:line="240" w:lineRule="auto"/>
      </w:pPr>
      <w:r>
        <w:separator/>
      </w:r>
    </w:p>
  </w:footnote>
  <w:footnote w:type="continuationSeparator" w:id="0">
    <w:p w14:paraId="4195C458" w14:textId="77777777" w:rsidR="007C7717" w:rsidRDefault="007C7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91F5" w14:textId="77777777" w:rsidR="00C46BA4" w:rsidRDefault="007C7717">
    <w:pPr>
      <w:pStyle w:val="Kopfzeile"/>
    </w:pPr>
    <w:r>
      <w:rPr>
        <w:noProof/>
      </w:rPr>
      <mc:AlternateContent>
        <mc:Choice Requires="wpg">
          <w:drawing>
            <wp:anchor distT="0" distB="0" distL="114300" distR="114300" simplePos="0" relativeHeight="251662336" behindDoc="0" locked="0" layoutInCell="1" allowOverlap="1" wp14:anchorId="6B2ADEC5" wp14:editId="66B1192F">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A52C" w14:textId="77777777" w:rsidR="00C46BA4" w:rsidRDefault="007C7717">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33FF0CD4" wp14:editId="5A9BE4F9">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102709"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525"/>
    <w:multiLevelType w:val="hybridMultilevel"/>
    <w:tmpl w:val="306CF346"/>
    <w:lvl w:ilvl="0" w:tplc="F8C8966A">
      <w:start w:val="1"/>
      <w:numFmt w:val="bullet"/>
      <w:lvlText w:val=""/>
      <w:lvlJc w:val="left"/>
      <w:pPr>
        <w:ind w:left="720" w:hanging="360"/>
      </w:pPr>
      <w:rPr>
        <w:rFonts w:ascii="Symbol" w:hAnsi="Symbol" w:hint="default"/>
      </w:rPr>
    </w:lvl>
    <w:lvl w:ilvl="1" w:tplc="C46C094E" w:tentative="1">
      <w:start w:val="1"/>
      <w:numFmt w:val="bullet"/>
      <w:lvlText w:val="o"/>
      <w:lvlJc w:val="left"/>
      <w:pPr>
        <w:ind w:left="1440" w:hanging="360"/>
      </w:pPr>
      <w:rPr>
        <w:rFonts w:ascii="Courier New" w:hAnsi="Courier New" w:cs="Courier New" w:hint="default"/>
      </w:rPr>
    </w:lvl>
    <w:lvl w:ilvl="2" w:tplc="6D38704A" w:tentative="1">
      <w:start w:val="1"/>
      <w:numFmt w:val="bullet"/>
      <w:lvlText w:val=""/>
      <w:lvlJc w:val="left"/>
      <w:pPr>
        <w:ind w:left="2160" w:hanging="360"/>
      </w:pPr>
      <w:rPr>
        <w:rFonts w:ascii="Wingdings" w:hAnsi="Wingdings" w:hint="default"/>
      </w:rPr>
    </w:lvl>
    <w:lvl w:ilvl="3" w:tplc="5268E3B8" w:tentative="1">
      <w:start w:val="1"/>
      <w:numFmt w:val="bullet"/>
      <w:lvlText w:val=""/>
      <w:lvlJc w:val="left"/>
      <w:pPr>
        <w:ind w:left="2880" w:hanging="360"/>
      </w:pPr>
      <w:rPr>
        <w:rFonts w:ascii="Symbol" w:hAnsi="Symbol" w:hint="default"/>
      </w:rPr>
    </w:lvl>
    <w:lvl w:ilvl="4" w:tplc="A5E60674" w:tentative="1">
      <w:start w:val="1"/>
      <w:numFmt w:val="bullet"/>
      <w:lvlText w:val="o"/>
      <w:lvlJc w:val="left"/>
      <w:pPr>
        <w:ind w:left="3600" w:hanging="360"/>
      </w:pPr>
      <w:rPr>
        <w:rFonts w:ascii="Courier New" w:hAnsi="Courier New" w:cs="Courier New" w:hint="default"/>
      </w:rPr>
    </w:lvl>
    <w:lvl w:ilvl="5" w:tplc="DC6E0104" w:tentative="1">
      <w:start w:val="1"/>
      <w:numFmt w:val="bullet"/>
      <w:lvlText w:val=""/>
      <w:lvlJc w:val="left"/>
      <w:pPr>
        <w:ind w:left="4320" w:hanging="360"/>
      </w:pPr>
      <w:rPr>
        <w:rFonts w:ascii="Wingdings" w:hAnsi="Wingdings" w:hint="default"/>
      </w:rPr>
    </w:lvl>
    <w:lvl w:ilvl="6" w:tplc="744AC7D8" w:tentative="1">
      <w:start w:val="1"/>
      <w:numFmt w:val="bullet"/>
      <w:lvlText w:val=""/>
      <w:lvlJc w:val="left"/>
      <w:pPr>
        <w:ind w:left="5040" w:hanging="360"/>
      </w:pPr>
      <w:rPr>
        <w:rFonts w:ascii="Symbol" w:hAnsi="Symbol" w:hint="default"/>
      </w:rPr>
    </w:lvl>
    <w:lvl w:ilvl="7" w:tplc="44D2B9C4" w:tentative="1">
      <w:start w:val="1"/>
      <w:numFmt w:val="bullet"/>
      <w:lvlText w:val="o"/>
      <w:lvlJc w:val="left"/>
      <w:pPr>
        <w:ind w:left="5760" w:hanging="360"/>
      </w:pPr>
      <w:rPr>
        <w:rFonts w:ascii="Courier New" w:hAnsi="Courier New" w:cs="Courier New" w:hint="default"/>
      </w:rPr>
    </w:lvl>
    <w:lvl w:ilvl="8" w:tplc="20746996"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35C2D070">
      <w:start w:val="1"/>
      <w:numFmt w:val="decimal"/>
      <w:lvlText w:val="%1."/>
      <w:lvlJc w:val="left"/>
      <w:pPr>
        <w:ind w:left="720" w:hanging="360"/>
      </w:pPr>
    </w:lvl>
    <w:lvl w:ilvl="1" w:tplc="CD84BDF4">
      <w:start w:val="1"/>
      <w:numFmt w:val="lowerLetter"/>
      <w:lvlText w:val="%2."/>
      <w:lvlJc w:val="left"/>
      <w:pPr>
        <w:ind w:left="1440" w:hanging="360"/>
      </w:pPr>
    </w:lvl>
    <w:lvl w:ilvl="2" w:tplc="C6289694">
      <w:start w:val="1"/>
      <w:numFmt w:val="lowerRoman"/>
      <w:lvlText w:val="%3."/>
      <w:lvlJc w:val="right"/>
      <w:pPr>
        <w:ind w:left="2160" w:hanging="180"/>
      </w:pPr>
    </w:lvl>
    <w:lvl w:ilvl="3" w:tplc="1360CCE4">
      <w:start w:val="1"/>
      <w:numFmt w:val="decimal"/>
      <w:lvlText w:val="%4."/>
      <w:lvlJc w:val="left"/>
      <w:pPr>
        <w:ind w:left="2880" w:hanging="360"/>
      </w:pPr>
    </w:lvl>
    <w:lvl w:ilvl="4" w:tplc="C012163C">
      <w:start w:val="1"/>
      <w:numFmt w:val="lowerLetter"/>
      <w:lvlText w:val="%5."/>
      <w:lvlJc w:val="left"/>
      <w:pPr>
        <w:ind w:left="3600" w:hanging="360"/>
      </w:pPr>
    </w:lvl>
    <w:lvl w:ilvl="5" w:tplc="4A5AABD8">
      <w:start w:val="1"/>
      <w:numFmt w:val="lowerRoman"/>
      <w:lvlText w:val="%6."/>
      <w:lvlJc w:val="right"/>
      <w:pPr>
        <w:ind w:left="4320" w:hanging="180"/>
      </w:pPr>
    </w:lvl>
    <w:lvl w:ilvl="6" w:tplc="F514B902">
      <w:start w:val="1"/>
      <w:numFmt w:val="decimal"/>
      <w:lvlText w:val="%7."/>
      <w:lvlJc w:val="left"/>
      <w:pPr>
        <w:ind w:left="5040" w:hanging="360"/>
      </w:pPr>
    </w:lvl>
    <w:lvl w:ilvl="7" w:tplc="0A8C057E">
      <w:start w:val="1"/>
      <w:numFmt w:val="lowerLetter"/>
      <w:lvlText w:val="%8."/>
      <w:lvlJc w:val="left"/>
      <w:pPr>
        <w:ind w:left="5760" w:hanging="360"/>
      </w:pPr>
    </w:lvl>
    <w:lvl w:ilvl="8" w:tplc="F36E8048">
      <w:start w:val="1"/>
      <w:numFmt w:val="lowerRoman"/>
      <w:lvlText w:val="%9."/>
      <w:lvlJc w:val="right"/>
      <w:pPr>
        <w:ind w:left="6480" w:hanging="180"/>
      </w:pPr>
    </w:lvl>
  </w:abstractNum>
  <w:abstractNum w:abstractNumId="2" w15:restartNumberingAfterBreak="0">
    <w:nsid w:val="5CF14E79"/>
    <w:multiLevelType w:val="hybridMultilevel"/>
    <w:tmpl w:val="35BCE422"/>
    <w:lvl w:ilvl="0" w:tplc="1542E164">
      <w:numFmt w:val="bullet"/>
      <w:lvlText w:val="-"/>
      <w:lvlJc w:val="left"/>
      <w:pPr>
        <w:ind w:left="720" w:hanging="360"/>
      </w:pPr>
      <w:rPr>
        <w:rFonts w:ascii="Calibri" w:eastAsiaTheme="minorHAnsi" w:hAnsi="Calibri" w:cs="Calibri" w:hint="default"/>
      </w:rPr>
    </w:lvl>
    <w:lvl w:ilvl="1" w:tplc="539E406E" w:tentative="1">
      <w:start w:val="1"/>
      <w:numFmt w:val="bullet"/>
      <w:lvlText w:val="o"/>
      <w:lvlJc w:val="left"/>
      <w:pPr>
        <w:ind w:left="1440" w:hanging="360"/>
      </w:pPr>
      <w:rPr>
        <w:rFonts w:ascii="Courier New" w:hAnsi="Courier New" w:cs="Courier New" w:hint="default"/>
      </w:rPr>
    </w:lvl>
    <w:lvl w:ilvl="2" w:tplc="3DB487B6" w:tentative="1">
      <w:start w:val="1"/>
      <w:numFmt w:val="bullet"/>
      <w:lvlText w:val=""/>
      <w:lvlJc w:val="left"/>
      <w:pPr>
        <w:ind w:left="2160" w:hanging="360"/>
      </w:pPr>
      <w:rPr>
        <w:rFonts w:ascii="Wingdings" w:hAnsi="Wingdings" w:hint="default"/>
      </w:rPr>
    </w:lvl>
    <w:lvl w:ilvl="3" w:tplc="EDEE63EE" w:tentative="1">
      <w:start w:val="1"/>
      <w:numFmt w:val="bullet"/>
      <w:lvlText w:val=""/>
      <w:lvlJc w:val="left"/>
      <w:pPr>
        <w:ind w:left="2880" w:hanging="360"/>
      </w:pPr>
      <w:rPr>
        <w:rFonts w:ascii="Symbol" w:hAnsi="Symbol" w:hint="default"/>
      </w:rPr>
    </w:lvl>
    <w:lvl w:ilvl="4" w:tplc="32706D44" w:tentative="1">
      <w:start w:val="1"/>
      <w:numFmt w:val="bullet"/>
      <w:lvlText w:val="o"/>
      <w:lvlJc w:val="left"/>
      <w:pPr>
        <w:ind w:left="3600" w:hanging="360"/>
      </w:pPr>
      <w:rPr>
        <w:rFonts w:ascii="Courier New" w:hAnsi="Courier New" w:cs="Courier New" w:hint="default"/>
      </w:rPr>
    </w:lvl>
    <w:lvl w:ilvl="5" w:tplc="299C8AFE" w:tentative="1">
      <w:start w:val="1"/>
      <w:numFmt w:val="bullet"/>
      <w:lvlText w:val=""/>
      <w:lvlJc w:val="left"/>
      <w:pPr>
        <w:ind w:left="4320" w:hanging="360"/>
      </w:pPr>
      <w:rPr>
        <w:rFonts w:ascii="Wingdings" w:hAnsi="Wingdings" w:hint="default"/>
      </w:rPr>
    </w:lvl>
    <w:lvl w:ilvl="6" w:tplc="D91A60CA" w:tentative="1">
      <w:start w:val="1"/>
      <w:numFmt w:val="bullet"/>
      <w:lvlText w:val=""/>
      <w:lvlJc w:val="left"/>
      <w:pPr>
        <w:ind w:left="5040" w:hanging="360"/>
      </w:pPr>
      <w:rPr>
        <w:rFonts w:ascii="Symbol" w:hAnsi="Symbol" w:hint="default"/>
      </w:rPr>
    </w:lvl>
    <w:lvl w:ilvl="7" w:tplc="7E1EBAFA" w:tentative="1">
      <w:start w:val="1"/>
      <w:numFmt w:val="bullet"/>
      <w:lvlText w:val="o"/>
      <w:lvlJc w:val="left"/>
      <w:pPr>
        <w:ind w:left="5760" w:hanging="360"/>
      </w:pPr>
      <w:rPr>
        <w:rFonts w:ascii="Courier New" w:hAnsi="Courier New" w:cs="Courier New" w:hint="default"/>
      </w:rPr>
    </w:lvl>
    <w:lvl w:ilvl="8" w:tplc="A5705024" w:tentative="1">
      <w:start w:val="1"/>
      <w:numFmt w:val="bullet"/>
      <w:lvlText w:val=""/>
      <w:lvlJc w:val="left"/>
      <w:pPr>
        <w:ind w:left="6480" w:hanging="360"/>
      </w:pPr>
      <w:rPr>
        <w:rFonts w:ascii="Wingdings" w:hAnsi="Wingdings" w:hint="default"/>
      </w:rPr>
    </w:lvl>
  </w:abstractNum>
  <w:abstractNum w:abstractNumId="3" w15:restartNumberingAfterBreak="0">
    <w:nsid w:val="6C280F67"/>
    <w:multiLevelType w:val="hybridMultilevel"/>
    <w:tmpl w:val="CAAA66DA"/>
    <w:lvl w:ilvl="0" w:tplc="960AA9B2">
      <w:numFmt w:val="bullet"/>
      <w:lvlText w:val="-"/>
      <w:lvlJc w:val="left"/>
      <w:pPr>
        <w:ind w:left="720" w:hanging="360"/>
      </w:pPr>
      <w:rPr>
        <w:rFonts w:ascii="Arial" w:eastAsia="Times New Roman" w:hAnsi="Arial" w:cs="Arial" w:hint="default"/>
      </w:rPr>
    </w:lvl>
    <w:lvl w:ilvl="1" w:tplc="7E76145E" w:tentative="1">
      <w:start w:val="1"/>
      <w:numFmt w:val="bullet"/>
      <w:lvlText w:val="o"/>
      <w:lvlJc w:val="left"/>
      <w:pPr>
        <w:ind w:left="1440" w:hanging="360"/>
      </w:pPr>
      <w:rPr>
        <w:rFonts w:ascii="Courier New" w:hAnsi="Courier New" w:cs="Courier New" w:hint="default"/>
      </w:rPr>
    </w:lvl>
    <w:lvl w:ilvl="2" w:tplc="CD82AD46" w:tentative="1">
      <w:start w:val="1"/>
      <w:numFmt w:val="bullet"/>
      <w:lvlText w:val=""/>
      <w:lvlJc w:val="left"/>
      <w:pPr>
        <w:ind w:left="2160" w:hanging="360"/>
      </w:pPr>
      <w:rPr>
        <w:rFonts w:ascii="Wingdings" w:hAnsi="Wingdings" w:hint="default"/>
      </w:rPr>
    </w:lvl>
    <w:lvl w:ilvl="3" w:tplc="E3D067E0" w:tentative="1">
      <w:start w:val="1"/>
      <w:numFmt w:val="bullet"/>
      <w:lvlText w:val=""/>
      <w:lvlJc w:val="left"/>
      <w:pPr>
        <w:ind w:left="2880" w:hanging="360"/>
      </w:pPr>
      <w:rPr>
        <w:rFonts w:ascii="Symbol" w:hAnsi="Symbol" w:hint="default"/>
      </w:rPr>
    </w:lvl>
    <w:lvl w:ilvl="4" w:tplc="97DA2E62" w:tentative="1">
      <w:start w:val="1"/>
      <w:numFmt w:val="bullet"/>
      <w:lvlText w:val="o"/>
      <w:lvlJc w:val="left"/>
      <w:pPr>
        <w:ind w:left="3600" w:hanging="360"/>
      </w:pPr>
      <w:rPr>
        <w:rFonts w:ascii="Courier New" w:hAnsi="Courier New" w:cs="Courier New" w:hint="default"/>
      </w:rPr>
    </w:lvl>
    <w:lvl w:ilvl="5" w:tplc="EACE76BC" w:tentative="1">
      <w:start w:val="1"/>
      <w:numFmt w:val="bullet"/>
      <w:lvlText w:val=""/>
      <w:lvlJc w:val="left"/>
      <w:pPr>
        <w:ind w:left="4320" w:hanging="360"/>
      </w:pPr>
      <w:rPr>
        <w:rFonts w:ascii="Wingdings" w:hAnsi="Wingdings" w:hint="default"/>
      </w:rPr>
    </w:lvl>
    <w:lvl w:ilvl="6" w:tplc="8D8464F6" w:tentative="1">
      <w:start w:val="1"/>
      <w:numFmt w:val="bullet"/>
      <w:lvlText w:val=""/>
      <w:lvlJc w:val="left"/>
      <w:pPr>
        <w:ind w:left="5040" w:hanging="360"/>
      </w:pPr>
      <w:rPr>
        <w:rFonts w:ascii="Symbol" w:hAnsi="Symbol" w:hint="default"/>
      </w:rPr>
    </w:lvl>
    <w:lvl w:ilvl="7" w:tplc="C9B0EDE0" w:tentative="1">
      <w:start w:val="1"/>
      <w:numFmt w:val="bullet"/>
      <w:lvlText w:val="o"/>
      <w:lvlJc w:val="left"/>
      <w:pPr>
        <w:ind w:left="5760" w:hanging="360"/>
      </w:pPr>
      <w:rPr>
        <w:rFonts w:ascii="Courier New" w:hAnsi="Courier New" w:cs="Courier New" w:hint="default"/>
      </w:rPr>
    </w:lvl>
    <w:lvl w:ilvl="8" w:tplc="43268EAC" w:tentative="1">
      <w:start w:val="1"/>
      <w:numFmt w:val="bullet"/>
      <w:lvlText w:val=""/>
      <w:lvlJc w:val="left"/>
      <w:pPr>
        <w:ind w:left="6480" w:hanging="360"/>
      </w:pPr>
      <w:rPr>
        <w:rFonts w:ascii="Wingdings" w:hAnsi="Wingdings" w:hint="default"/>
      </w:rPr>
    </w:lvl>
  </w:abstractNum>
  <w:num w:numId="1" w16cid:durableId="2083522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9317525">
    <w:abstractNumId w:val="3"/>
  </w:num>
  <w:num w:numId="3" w16cid:durableId="468980753">
    <w:abstractNumId w:val="0"/>
  </w:num>
  <w:num w:numId="4" w16cid:durableId="16648936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788"/>
    <w:rsid w:val="00020E7F"/>
    <w:rsid w:val="000270ED"/>
    <w:rsid w:val="0003012F"/>
    <w:rsid w:val="0007237D"/>
    <w:rsid w:val="00085B54"/>
    <w:rsid w:val="00085C71"/>
    <w:rsid w:val="00097752"/>
    <w:rsid w:val="00097DFE"/>
    <w:rsid w:val="000A4B75"/>
    <w:rsid w:val="000A50AF"/>
    <w:rsid w:val="000B0FB9"/>
    <w:rsid w:val="000B4C8B"/>
    <w:rsid w:val="000B5D9C"/>
    <w:rsid w:val="000C05FE"/>
    <w:rsid w:val="000D3307"/>
    <w:rsid w:val="000D3A88"/>
    <w:rsid w:val="000D7AEE"/>
    <w:rsid w:val="000E79B6"/>
    <w:rsid w:val="000E7D39"/>
    <w:rsid w:val="001021A3"/>
    <w:rsid w:val="001071C6"/>
    <w:rsid w:val="001164C5"/>
    <w:rsid w:val="00125980"/>
    <w:rsid w:val="0012612F"/>
    <w:rsid w:val="00134C03"/>
    <w:rsid w:val="001377D5"/>
    <w:rsid w:val="00137B05"/>
    <w:rsid w:val="00144CB0"/>
    <w:rsid w:val="00153F23"/>
    <w:rsid w:val="00163609"/>
    <w:rsid w:val="00167FBA"/>
    <w:rsid w:val="0017408D"/>
    <w:rsid w:val="00174C36"/>
    <w:rsid w:val="001919DD"/>
    <w:rsid w:val="00191EF5"/>
    <w:rsid w:val="001A59C4"/>
    <w:rsid w:val="001B03B5"/>
    <w:rsid w:val="001B1A31"/>
    <w:rsid w:val="001E5A86"/>
    <w:rsid w:val="001F07AD"/>
    <w:rsid w:val="00204FB3"/>
    <w:rsid w:val="002143C8"/>
    <w:rsid w:val="00220369"/>
    <w:rsid w:val="00222A46"/>
    <w:rsid w:val="00227A84"/>
    <w:rsid w:val="00230329"/>
    <w:rsid w:val="00242BD9"/>
    <w:rsid w:val="00254B77"/>
    <w:rsid w:val="00264C17"/>
    <w:rsid w:val="00272BA1"/>
    <w:rsid w:val="00276121"/>
    <w:rsid w:val="002949B3"/>
    <w:rsid w:val="002A4B51"/>
    <w:rsid w:val="002B1D1C"/>
    <w:rsid w:val="002B2D28"/>
    <w:rsid w:val="002B5B2D"/>
    <w:rsid w:val="002E53A0"/>
    <w:rsid w:val="00307185"/>
    <w:rsid w:val="0031048D"/>
    <w:rsid w:val="00314F1D"/>
    <w:rsid w:val="003153F0"/>
    <w:rsid w:val="003256CD"/>
    <w:rsid w:val="00336CFD"/>
    <w:rsid w:val="00390093"/>
    <w:rsid w:val="00390604"/>
    <w:rsid w:val="00394033"/>
    <w:rsid w:val="00397DCD"/>
    <w:rsid w:val="003A0114"/>
    <w:rsid w:val="003A1E0C"/>
    <w:rsid w:val="003A4D52"/>
    <w:rsid w:val="003A544F"/>
    <w:rsid w:val="003C6583"/>
    <w:rsid w:val="003E05B8"/>
    <w:rsid w:val="003E467A"/>
    <w:rsid w:val="003F18D3"/>
    <w:rsid w:val="00401311"/>
    <w:rsid w:val="00404F22"/>
    <w:rsid w:val="00405325"/>
    <w:rsid w:val="004138F5"/>
    <w:rsid w:val="004160F3"/>
    <w:rsid w:val="00417D58"/>
    <w:rsid w:val="00436B7F"/>
    <w:rsid w:val="004439D3"/>
    <w:rsid w:val="00444F9B"/>
    <w:rsid w:val="004700AC"/>
    <w:rsid w:val="00475EF8"/>
    <w:rsid w:val="00477F45"/>
    <w:rsid w:val="00493131"/>
    <w:rsid w:val="004A78A0"/>
    <w:rsid w:val="004B101A"/>
    <w:rsid w:val="004C0A37"/>
    <w:rsid w:val="004C5E12"/>
    <w:rsid w:val="004C6DEE"/>
    <w:rsid w:val="004C7BAD"/>
    <w:rsid w:val="004D430C"/>
    <w:rsid w:val="004E53DB"/>
    <w:rsid w:val="004F1775"/>
    <w:rsid w:val="004F3ACD"/>
    <w:rsid w:val="00536606"/>
    <w:rsid w:val="00543130"/>
    <w:rsid w:val="00553E2D"/>
    <w:rsid w:val="0055411F"/>
    <w:rsid w:val="00556220"/>
    <w:rsid w:val="005743C8"/>
    <w:rsid w:val="00577994"/>
    <w:rsid w:val="0058042C"/>
    <w:rsid w:val="00583E25"/>
    <w:rsid w:val="00593454"/>
    <w:rsid w:val="00593786"/>
    <w:rsid w:val="00594016"/>
    <w:rsid w:val="005B6514"/>
    <w:rsid w:val="005C7472"/>
    <w:rsid w:val="005D3A8D"/>
    <w:rsid w:val="005E3161"/>
    <w:rsid w:val="005E5C36"/>
    <w:rsid w:val="005F6490"/>
    <w:rsid w:val="00602AEB"/>
    <w:rsid w:val="00606BA7"/>
    <w:rsid w:val="00611E85"/>
    <w:rsid w:val="00626209"/>
    <w:rsid w:val="00643801"/>
    <w:rsid w:val="006644D7"/>
    <w:rsid w:val="00684532"/>
    <w:rsid w:val="006960B2"/>
    <w:rsid w:val="006A047C"/>
    <w:rsid w:val="006A6616"/>
    <w:rsid w:val="006B6408"/>
    <w:rsid w:val="006B76F7"/>
    <w:rsid w:val="006C1BBD"/>
    <w:rsid w:val="006D3B83"/>
    <w:rsid w:val="007008BC"/>
    <w:rsid w:val="00700A19"/>
    <w:rsid w:val="0071484F"/>
    <w:rsid w:val="00717EF2"/>
    <w:rsid w:val="007624B4"/>
    <w:rsid w:val="007666E2"/>
    <w:rsid w:val="007761DD"/>
    <w:rsid w:val="0077793D"/>
    <w:rsid w:val="00790944"/>
    <w:rsid w:val="0079163C"/>
    <w:rsid w:val="007A0039"/>
    <w:rsid w:val="007C0A97"/>
    <w:rsid w:val="007C7717"/>
    <w:rsid w:val="007D0205"/>
    <w:rsid w:val="007D43E0"/>
    <w:rsid w:val="007E0B62"/>
    <w:rsid w:val="007E237D"/>
    <w:rsid w:val="007E32B5"/>
    <w:rsid w:val="008019FA"/>
    <w:rsid w:val="00807006"/>
    <w:rsid w:val="00810760"/>
    <w:rsid w:val="0082419D"/>
    <w:rsid w:val="008276E4"/>
    <w:rsid w:val="00836A26"/>
    <w:rsid w:val="00837A6A"/>
    <w:rsid w:val="00837C33"/>
    <w:rsid w:val="00840221"/>
    <w:rsid w:val="0085309C"/>
    <w:rsid w:val="008646BD"/>
    <w:rsid w:val="0086636E"/>
    <w:rsid w:val="00867FEF"/>
    <w:rsid w:val="008748AB"/>
    <w:rsid w:val="00874F23"/>
    <w:rsid w:val="008A1457"/>
    <w:rsid w:val="008A3C0F"/>
    <w:rsid w:val="008B415E"/>
    <w:rsid w:val="008B4639"/>
    <w:rsid w:val="008B6F2D"/>
    <w:rsid w:val="008C05B1"/>
    <w:rsid w:val="008D013E"/>
    <w:rsid w:val="008D0159"/>
    <w:rsid w:val="008D2BFF"/>
    <w:rsid w:val="008D4E8E"/>
    <w:rsid w:val="008D5D10"/>
    <w:rsid w:val="008F1C4C"/>
    <w:rsid w:val="008F2973"/>
    <w:rsid w:val="008F5068"/>
    <w:rsid w:val="00911B1E"/>
    <w:rsid w:val="00914912"/>
    <w:rsid w:val="009207A6"/>
    <w:rsid w:val="00920836"/>
    <w:rsid w:val="009253F6"/>
    <w:rsid w:val="009317BF"/>
    <w:rsid w:val="00941C9D"/>
    <w:rsid w:val="00952E4E"/>
    <w:rsid w:val="00956E2C"/>
    <w:rsid w:val="00960C85"/>
    <w:rsid w:val="00965CD1"/>
    <w:rsid w:val="00972C4E"/>
    <w:rsid w:val="00975E13"/>
    <w:rsid w:val="009967FF"/>
    <w:rsid w:val="009B520C"/>
    <w:rsid w:val="009D0A67"/>
    <w:rsid w:val="009D71E0"/>
    <w:rsid w:val="009E79AC"/>
    <w:rsid w:val="009F0CE0"/>
    <w:rsid w:val="00A131A6"/>
    <w:rsid w:val="00A161F4"/>
    <w:rsid w:val="00A21038"/>
    <w:rsid w:val="00A233BC"/>
    <w:rsid w:val="00A2727C"/>
    <w:rsid w:val="00A30789"/>
    <w:rsid w:val="00A345D7"/>
    <w:rsid w:val="00A348AD"/>
    <w:rsid w:val="00A36F13"/>
    <w:rsid w:val="00A53BDB"/>
    <w:rsid w:val="00A63359"/>
    <w:rsid w:val="00A656E8"/>
    <w:rsid w:val="00A66E1C"/>
    <w:rsid w:val="00A6754C"/>
    <w:rsid w:val="00A77BB0"/>
    <w:rsid w:val="00A8313D"/>
    <w:rsid w:val="00A950CA"/>
    <w:rsid w:val="00A97F9E"/>
    <w:rsid w:val="00AB592F"/>
    <w:rsid w:val="00AB7DFF"/>
    <w:rsid w:val="00AD7255"/>
    <w:rsid w:val="00AE7F91"/>
    <w:rsid w:val="00AF2119"/>
    <w:rsid w:val="00AF6C3E"/>
    <w:rsid w:val="00B00DA2"/>
    <w:rsid w:val="00B10412"/>
    <w:rsid w:val="00B11981"/>
    <w:rsid w:val="00B13557"/>
    <w:rsid w:val="00B167DC"/>
    <w:rsid w:val="00B264F2"/>
    <w:rsid w:val="00B41BBC"/>
    <w:rsid w:val="00B42F5D"/>
    <w:rsid w:val="00B441F2"/>
    <w:rsid w:val="00B534F0"/>
    <w:rsid w:val="00B81355"/>
    <w:rsid w:val="00B84A40"/>
    <w:rsid w:val="00B93008"/>
    <w:rsid w:val="00BA7E19"/>
    <w:rsid w:val="00BB3A6E"/>
    <w:rsid w:val="00BB6ABC"/>
    <w:rsid w:val="00BB7524"/>
    <w:rsid w:val="00BC03A7"/>
    <w:rsid w:val="00BC0795"/>
    <w:rsid w:val="00BC6577"/>
    <w:rsid w:val="00BC7FCB"/>
    <w:rsid w:val="00C04A58"/>
    <w:rsid w:val="00C064E9"/>
    <w:rsid w:val="00C12A0F"/>
    <w:rsid w:val="00C13F59"/>
    <w:rsid w:val="00C336BC"/>
    <w:rsid w:val="00C33FE6"/>
    <w:rsid w:val="00C34E93"/>
    <w:rsid w:val="00C4037B"/>
    <w:rsid w:val="00C43FC0"/>
    <w:rsid w:val="00C4402B"/>
    <w:rsid w:val="00C44A5A"/>
    <w:rsid w:val="00C46BA4"/>
    <w:rsid w:val="00C53BF3"/>
    <w:rsid w:val="00C561C6"/>
    <w:rsid w:val="00C5676C"/>
    <w:rsid w:val="00C65B7E"/>
    <w:rsid w:val="00C72572"/>
    <w:rsid w:val="00C838D2"/>
    <w:rsid w:val="00C84DF2"/>
    <w:rsid w:val="00C92770"/>
    <w:rsid w:val="00C92BA1"/>
    <w:rsid w:val="00C9586D"/>
    <w:rsid w:val="00C965EE"/>
    <w:rsid w:val="00CB61D4"/>
    <w:rsid w:val="00CC0DF6"/>
    <w:rsid w:val="00CC4BD7"/>
    <w:rsid w:val="00CC4F52"/>
    <w:rsid w:val="00CD1030"/>
    <w:rsid w:val="00CD4EDB"/>
    <w:rsid w:val="00CF2546"/>
    <w:rsid w:val="00D01C1A"/>
    <w:rsid w:val="00D02A23"/>
    <w:rsid w:val="00D211B3"/>
    <w:rsid w:val="00D212B9"/>
    <w:rsid w:val="00D2145D"/>
    <w:rsid w:val="00D22DD1"/>
    <w:rsid w:val="00D30C17"/>
    <w:rsid w:val="00D51FA5"/>
    <w:rsid w:val="00D61690"/>
    <w:rsid w:val="00D61EBA"/>
    <w:rsid w:val="00D73DB5"/>
    <w:rsid w:val="00D75745"/>
    <w:rsid w:val="00D771EC"/>
    <w:rsid w:val="00D86691"/>
    <w:rsid w:val="00D86729"/>
    <w:rsid w:val="00D90639"/>
    <w:rsid w:val="00D90839"/>
    <w:rsid w:val="00D974AD"/>
    <w:rsid w:val="00D974CE"/>
    <w:rsid w:val="00DA33DB"/>
    <w:rsid w:val="00DB22B0"/>
    <w:rsid w:val="00DB3364"/>
    <w:rsid w:val="00DC247B"/>
    <w:rsid w:val="00DE37DB"/>
    <w:rsid w:val="00DF62B8"/>
    <w:rsid w:val="00E03298"/>
    <w:rsid w:val="00E065F5"/>
    <w:rsid w:val="00E07D7F"/>
    <w:rsid w:val="00E24F7C"/>
    <w:rsid w:val="00E44512"/>
    <w:rsid w:val="00E509A3"/>
    <w:rsid w:val="00E53DC5"/>
    <w:rsid w:val="00E562F4"/>
    <w:rsid w:val="00E61086"/>
    <w:rsid w:val="00E711CB"/>
    <w:rsid w:val="00E713FE"/>
    <w:rsid w:val="00E816D9"/>
    <w:rsid w:val="00E8300A"/>
    <w:rsid w:val="00E87197"/>
    <w:rsid w:val="00E87ED4"/>
    <w:rsid w:val="00E95B5A"/>
    <w:rsid w:val="00E96650"/>
    <w:rsid w:val="00EB1EB3"/>
    <w:rsid w:val="00EC5870"/>
    <w:rsid w:val="00EC7C77"/>
    <w:rsid w:val="00ED2066"/>
    <w:rsid w:val="00ED3C1A"/>
    <w:rsid w:val="00EE1D19"/>
    <w:rsid w:val="00EF4FCF"/>
    <w:rsid w:val="00F02924"/>
    <w:rsid w:val="00F0C500"/>
    <w:rsid w:val="00F27232"/>
    <w:rsid w:val="00F320DB"/>
    <w:rsid w:val="00F3753B"/>
    <w:rsid w:val="00F421E9"/>
    <w:rsid w:val="00F45C22"/>
    <w:rsid w:val="00F512B2"/>
    <w:rsid w:val="00F5527D"/>
    <w:rsid w:val="00F8175A"/>
    <w:rsid w:val="00F838C2"/>
    <w:rsid w:val="00FB1CCA"/>
    <w:rsid w:val="00FB6007"/>
    <w:rsid w:val="00FC59CA"/>
    <w:rsid w:val="00FC6D13"/>
    <w:rsid w:val="00FD4754"/>
    <w:rsid w:val="00FE0F8D"/>
    <w:rsid w:val="00FE6AB6"/>
    <w:rsid w:val="00FE7FC2"/>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318A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rsid w:val="007C7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Company/Pressemitteilung/2024/6_2024/Michaela_Imbusch.jpg"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ucotec.com/fileadmin/user_upload/Company/Pressemitteilung/2024/6_2024/Energy_Keyvisual.pn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ucotec.com/fileadmin/user_upload/Company/Pressemitteilung/2024/6_2024/Digital_Twin.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arne.peters@aucotec.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6675</Characters>
  <Application>Microsoft Office Word</Application>
  <DocSecurity>0</DocSecurity>
  <Lines>55</Lines>
  <Paragraphs>15</Paragraphs>
  <ScaleCrop>false</ScaleCrop>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PM-AUCOTEC_CIGRE_2024_FR</dc:title>
  <cp:lastModifiedBy/>
  <cp:revision>1</cp:revision>
  <dcterms:created xsi:type="dcterms:W3CDTF">2024-07-16T11:11:00Z</dcterms:created>
  <dcterms:modified xsi:type="dcterms:W3CDTF">2024-07-16T11:18:00Z</dcterms:modified>
</cp:coreProperties>
</file>