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4FD4" w14:textId="77777777" w:rsidR="00C064E9" w:rsidRDefault="00000000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67B90E" wp14:editId="42331FAF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C0897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611E85">
                              <w:rPr>
                                <w:rFonts w:ascii="Malgun Gothic" w:eastAsia="Malgun Gothic" w:hAnsi="Malgun Gothic" w:cs="Malgun Gothic"/>
                                <w:color w:val="00B0F0"/>
                                <w:sz w:val="48"/>
                                <w:szCs w:val="48"/>
                                <w:lang w:val="ko"/>
                              </w:rPr>
                              <w:t>보도</w:t>
                            </w:r>
                            <w:proofErr w:type="spellEnd"/>
                            <w:r w:rsidRPr="00611E85">
                              <w:rPr>
                                <w:rFonts w:ascii="Malgun Gothic" w:eastAsia="Malgun Gothic" w:hAnsi="Malgun Gothic" w:cs="Malgun Gothic"/>
                                <w:color w:val="00B0F0"/>
                                <w:sz w:val="48"/>
                                <w:szCs w:val="48"/>
                                <w:lang w:val="ko"/>
                              </w:rPr>
                              <w:t xml:space="preserve"> </w:t>
                            </w:r>
                            <w:proofErr w:type="spellStart"/>
                            <w:r w:rsidRPr="00611E85">
                              <w:rPr>
                                <w:rFonts w:ascii="Malgun Gothic" w:eastAsia="Malgun Gothic" w:hAnsi="Malgun Gothic" w:cs="Malgun Gothic"/>
                                <w:color w:val="00B0F0"/>
                                <w:sz w:val="48"/>
                                <w:szCs w:val="48"/>
                                <w:lang w:val="ko"/>
                              </w:rPr>
                              <w:t>자료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B9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190C0897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proofErr w:type="spellStart"/>
                      <w:r w:rsidRPr="00611E85">
                        <w:rPr>
                          <w:rFonts w:ascii="Malgun Gothic" w:eastAsia="Malgun Gothic" w:hAnsi="Malgun Gothic" w:cs="Malgun Gothic"/>
                          <w:color w:val="00B0F0"/>
                          <w:sz w:val="48"/>
                          <w:szCs w:val="48"/>
                          <w:lang w:val="ko"/>
                        </w:rPr>
                        <w:t>보도</w:t>
                      </w:r>
                      <w:proofErr w:type="spellEnd"/>
                      <w:r w:rsidRPr="00611E85">
                        <w:rPr>
                          <w:rFonts w:ascii="Malgun Gothic" w:eastAsia="Malgun Gothic" w:hAnsi="Malgun Gothic" w:cs="Malgun Gothic"/>
                          <w:color w:val="00B0F0"/>
                          <w:sz w:val="48"/>
                          <w:szCs w:val="48"/>
                          <w:lang w:val="ko"/>
                        </w:rPr>
                        <w:t xml:space="preserve"> </w:t>
                      </w:r>
                      <w:proofErr w:type="spellStart"/>
                      <w:r w:rsidRPr="00611E85">
                        <w:rPr>
                          <w:rFonts w:ascii="Malgun Gothic" w:eastAsia="Malgun Gothic" w:hAnsi="Malgun Gothic" w:cs="Malgun Gothic"/>
                          <w:color w:val="00B0F0"/>
                          <w:sz w:val="48"/>
                          <w:szCs w:val="48"/>
                          <w:lang w:val="ko"/>
                        </w:rPr>
                        <w:t>자료</w:t>
                      </w:r>
                      <w:proofErr w:type="spellEnd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34EFF" wp14:editId="1D0A5EFC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7B1A1" w14:textId="77777777" w:rsidR="00390093" w:rsidRPr="004558F1" w:rsidRDefault="00000000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4558F1">
                              <w:rPr>
                                <w:rFonts w:ascii="Malgun Gothic" w:eastAsia="Malgun Gothic" w:hAnsi="Malgun Gothic" w:cs="Malgun Gothic"/>
                                <w:sz w:val="28"/>
                                <w:szCs w:val="28"/>
                                <w:lang w:val="ko"/>
                              </w:rPr>
                              <w:t>2024년 5월 29일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34EFF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3A87B1A1" w14:textId="77777777" w:rsidR="00390093" w:rsidRPr="004558F1" w:rsidRDefault="00000000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4558F1">
                        <w:rPr>
                          <w:rFonts w:ascii="Malgun Gothic" w:eastAsia="Malgun Gothic" w:hAnsi="Malgun Gothic" w:cs="Malgun Gothic"/>
                          <w:sz w:val="28"/>
                          <w:szCs w:val="28"/>
                          <w:lang w:val="ko"/>
                        </w:rPr>
                        <w:t>2024년 5월 29일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7B784E8E" w14:textId="77777777" w:rsidR="008805C5" w:rsidRPr="007458CF" w:rsidRDefault="00000000" w:rsidP="008339F3">
      <w:pPr>
        <w:spacing w:after="0" w:line="240" w:lineRule="auto"/>
        <w:rPr>
          <w:rFonts w:ascii="Verdana" w:hAnsi="Verdana"/>
          <w:sz w:val="28"/>
          <w:szCs w:val="28"/>
        </w:rPr>
      </w:pP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지속적인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성장세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: 1</w:t>
      </w: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년간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다시금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기록을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>경신한</w:t>
      </w:r>
      <w:proofErr w:type="spellEnd"/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t xml:space="preserve"> Aucotec</w:t>
      </w:r>
      <w:r w:rsidRPr="007458CF">
        <w:rPr>
          <w:rFonts w:ascii="Malgun Gothic" w:eastAsia="Malgun Gothic" w:hAnsi="Malgun Gothic" w:cs="Malgun Gothic"/>
          <w:sz w:val="28"/>
          <w:szCs w:val="28"/>
          <w:lang w:val="ko"/>
        </w:rPr>
        <w:br/>
      </w:r>
    </w:p>
    <w:p w14:paraId="516A95EC" w14:textId="77777777" w:rsidR="008A0B7F" w:rsidRPr="008339F3" w:rsidRDefault="00000000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소프트웨어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기업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Aucotec,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지난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회계연도에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약 2,900만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유로의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매출</w:t>
      </w:r>
      <w:proofErr w:type="spellEnd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sz w:val="20"/>
          <w:szCs w:val="20"/>
          <w:lang w:val="ko"/>
        </w:rPr>
        <w:t>기록</w:t>
      </w:r>
      <w:proofErr w:type="spellEnd"/>
    </w:p>
    <w:p w14:paraId="01064DCA" w14:textId="77777777" w:rsidR="00CF6C11" w:rsidRPr="008339F3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에너지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시스템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중심의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탈탄소화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솔루션</w:t>
      </w:r>
      <w:proofErr w:type="spellEnd"/>
    </w:p>
    <w:p w14:paraId="69E2E3B2" w14:textId="77777777" w:rsidR="00CF6C11" w:rsidRPr="008339F3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</w:rPr>
      </w:pP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유럽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및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아시아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시장에서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최대의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성장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  <w:proofErr w:type="spellStart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>달성</w:t>
      </w:r>
      <w:proofErr w:type="spellEnd"/>
      <w:r w:rsidRPr="008339F3">
        <w:rPr>
          <w:rFonts w:ascii="Malgun Gothic" w:eastAsia="Malgun Gothic" w:hAnsi="Malgun Gothic" w:cs="Malgun Gothic"/>
          <w:b/>
          <w:bCs/>
          <w:color w:val="000000"/>
          <w:sz w:val="20"/>
          <w:szCs w:val="20"/>
          <w:lang w:val="ko"/>
        </w:rPr>
        <w:t xml:space="preserve"> </w:t>
      </w:r>
    </w:p>
    <w:p w14:paraId="40460F0A" w14:textId="77777777" w:rsidR="008805C5" w:rsidRDefault="008805C5" w:rsidP="008805C5">
      <w:pPr>
        <w:spacing w:after="0"/>
        <w:rPr>
          <w:b/>
          <w:bCs/>
        </w:rPr>
      </w:pPr>
    </w:p>
    <w:p w14:paraId="5ABBBCBC" w14:textId="77777777" w:rsidR="009B792B" w:rsidRPr="007458CF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소프트웨어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기업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Aucotec이 3월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말에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종료된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회계연도에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다시금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매출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기록을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경신했다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. 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하노버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인근에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위치한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이제른하겐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소재의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엔지니어링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소프트웨어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전문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기업은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총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2,900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만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달러의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매출을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달성하여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전년도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매출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기록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대비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13%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의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성장세를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보였다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주문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발주는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9%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이상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증가하여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현재까지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약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4,000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만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유로를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기록했다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</w:t>
      </w:r>
    </w:p>
    <w:p w14:paraId="6F446AC9" w14:textId="77777777" w:rsidR="006120A6" w:rsidRPr="007458CF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</w:p>
    <w:p w14:paraId="2EC18FD7" w14:textId="77777777" w:rsidR="00225216" w:rsidRPr="00C23A4F" w:rsidRDefault="008C5CAE" w:rsidP="00225216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Uwe Vogt Aucotec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이사는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“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비록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확정적이지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않더라도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,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이러한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수치는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최근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몇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년간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당사가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우수한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성과를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도출했으며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올바른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의사결정을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내렸음을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증명합니다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.”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라고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말했다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 xml:space="preserve">. </w:t>
      </w: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>“</w:t>
      </w: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이</w:t>
      </w: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분야의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도전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과제는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다양하나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>, Aucotec</w:t>
      </w: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은</w:t>
      </w:r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무엇보다도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상호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연결되고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기후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중립적인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산업을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/>
        </w:rPr>
        <w:t>위한</w:t>
      </w:r>
      <w:proofErr w:type="spellEnd"/>
      <w:r w:rsidRPr="007458CF">
        <w:rPr>
          <w:rFonts w:ascii="Malgun Gothic" w:eastAsia="Malgun Gothic" w:hAnsi="Malgun Gothic" w:cs="Malgun Gothic"/>
          <w:bCs/>
          <w:color w:val="000000"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솔루션을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중시합니다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 Aucotec</w:t>
      </w:r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은</w:t>
      </w:r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당사의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소프트웨어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플랫폼인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Engineering Base</w:t>
      </w:r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를</w:t>
      </w:r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통해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이러한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솔루션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창출에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크게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기여하고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있습니다</w:t>
      </w:r>
      <w:proofErr w:type="spellEnd"/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.”</w:t>
      </w:r>
      <w:r w:rsidR="00000000"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br/>
        <w:t xml:space="preserve"> </w:t>
      </w:r>
    </w:p>
    <w:p w14:paraId="52B7F775" w14:textId="77777777" w:rsidR="001A05E2" w:rsidRPr="007458CF" w:rsidRDefault="001A05E2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eastAsia="ko"/>
        </w:rPr>
      </w:pPr>
    </w:p>
    <w:p w14:paraId="769D20DD" w14:textId="77777777" w:rsidR="001A05E2" w:rsidRPr="007458CF" w:rsidRDefault="00000000" w:rsidP="001A05E2">
      <w:pPr>
        <w:spacing w:after="0" w:line="254" w:lineRule="auto"/>
        <w:rPr>
          <w:rFonts w:ascii="Verdana" w:hAnsi="Verdana"/>
          <w:b/>
          <w:bCs/>
          <w:sz w:val="18"/>
          <w:szCs w:val="18"/>
        </w:rPr>
      </w:pPr>
      <w:proofErr w:type="spellStart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메가트렌드</w:t>
      </w:r>
      <w:proofErr w:type="spellEnd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: </w:t>
      </w:r>
      <w:proofErr w:type="spellStart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디지털</w:t>
      </w:r>
      <w:proofErr w:type="spellEnd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혁신</w:t>
      </w:r>
      <w:proofErr w:type="spellEnd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및 </w:t>
      </w:r>
      <w:proofErr w:type="spellStart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지속</w:t>
      </w:r>
      <w:proofErr w:type="spellEnd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bCs/>
          <w:sz w:val="18"/>
          <w:szCs w:val="18"/>
          <w:lang w:val="ko"/>
        </w:rPr>
        <w:t>가능성</w:t>
      </w:r>
      <w:proofErr w:type="spellEnd"/>
    </w:p>
    <w:p w14:paraId="0502A491" w14:textId="77777777" w:rsidR="008805C5" w:rsidRPr="007458CF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이러한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트렌드는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Aucotec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에게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다음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해를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특별한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해로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만들어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줄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긍정적인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신호입니다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. 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2025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년에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Aucotec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은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소프트웨어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기업으로서는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기나긴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역사에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해당하는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창립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40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주년을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맞습니다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. Vogt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이사는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“40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년간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Aucotec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은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당사의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제품과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솔루션으로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수많은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산업에서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혁신을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이루었습니다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.”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라며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, “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예를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들어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Engineering Base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는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오랫동안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시장에서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입지를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굳혔으며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,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다른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한편으로는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지속적인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확장을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통해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새로운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요구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사항을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충족하고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고객에게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해결책을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제공하고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있습니다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.”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라고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강조했다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</w:t>
      </w:r>
    </w:p>
    <w:p w14:paraId="516FFFE7" w14:textId="77777777" w:rsidR="008805C5" w:rsidRPr="007458CF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</w:p>
    <w:p w14:paraId="50B927B8" w14:textId="77777777" w:rsidR="008805C5" w:rsidRPr="007458CF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>기술과</w:t>
      </w:r>
      <w:proofErr w:type="spellEnd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>지속</w:t>
      </w:r>
      <w:proofErr w:type="spellEnd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>가능성의</w:t>
      </w:r>
      <w:proofErr w:type="spellEnd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>조화</w:t>
      </w:r>
      <w:proofErr w:type="spellEnd"/>
      <w:r w:rsidRPr="007458CF">
        <w:rPr>
          <w:rFonts w:ascii="Malgun Gothic" w:eastAsia="Malgun Gothic" w:hAnsi="Malgun Gothic" w:cs="Malgun Gothic"/>
          <w:b/>
          <w:bCs/>
          <w:color w:val="000000"/>
          <w:sz w:val="18"/>
          <w:szCs w:val="18"/>
          <w:lang w:val="ko"/>
        </w:rPr>
        <w:t xml:space="preserve"> </w:t>
      </w:r>
    </w:p>
    <w:p w14:paraId="6A359FC6" w14:textId="77777777" w:rsidR="008805C5" w:rsidRPr="007458CF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</w:rPr>
      </w:pP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특히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Engineering Base는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탈탄소화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및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에너지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그리드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확장을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선도하는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해외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고객들에게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활용되고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있습니다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키워드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: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친환경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수소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키워드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: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에너지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전환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자동차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및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철도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제조사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또한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Aucotec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포르폴리오에서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중요한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비중을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차지합니다</w:t>
      </w:r>
      <w:proofErr w:type="spellEnd"/>
      <w:r w:rsidRPr="007458CF">
        <w:rPr>
          <w:rFonts w:ascii="Malgun Gothic" w:eastAsia="Malgun Gothic" w:hAnsi="Malgun Gothic" w:cs="Malgun Gothic"/>
          <w:color w:val="000000"/>
          <w:sz w:val="18"/>
          <w:szCs w:val="18"/>
          <w:lang w:val="ko"/>
        </w:rPr>
        <w:t>.</w:t>
      </w:r>
    </w:p>
    <w:p w14:paraId="263F5848" w14:textId="77777777" w:rsidR="008805C5" w:rsidRPr="007458CF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</w:rPr>
      </w:pPr>
    </w:p>
    <w:p w14:paraId="672A8477" w14:textId="77777777" w:rsidR="008805C5" w:rsidRPr="007458CF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eastAsia="ko"/>
        </w:rPr>
      </w:pP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현재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Aucotec은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유럽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,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북미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및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아시아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지역에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위치한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전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세계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12개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지사에서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260명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이상을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고용하고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있습니다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아시아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지역은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전년에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올해에도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중요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시장으로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간주됩니다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 xml:space="preserve">. </w:t>
      </w:r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“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당사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솔루션은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아시아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지역에서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크나큰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잠재력을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지니고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있습니다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.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해당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지역의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매출과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반응이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이를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뒷받침합니다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.”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라고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Vogt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이사는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Cs/>
          <w:sz w:val="18"/>
          <w:szCs w:val="18"/>
          <w:lang w:val="ko"/>
        </w:rPr>
        <w:t>밝혔다</w:t>
      </w:r>
      <w:proofErr w:type="spellEnd"/>
      <w:r w:rsidRPr="007458CF">
        <w:rPr>
          <w:rFonts w:ascii="Malgun Gothic" w:eastAsia="Malgun Gothic" w:hAnsi="Malgun Gothic" w:cs="Malgun Gothic"/>
          <w:bCs/>
          <w:sz w:val="18"/>
          <w:szCs w:val="18"/>
          <w:lang w:val="ko" w:eastAsia="ko"/>
        </w:rPr>
        <w:t>.</w:t>
      </w:r>
    </w:p>
    <w:p w14:paraId="6528BFEA" w14:textId="77777777" w:rsidR="00C620C9" w:rsidRPr="007458CF" w:rsidRDefault="00C620C9" w:rsidP="00C3325C">
      <w:pPr>
        <w:spacing w:after="0" w:line="288" w:lineRule="auto"/>
        <w:rPr>
          <w:rFonts w:ascii="Verdana" w:hAnsi="Verdana"/>
          <w:bCs/>
          <w:sz w:val="18"/>
          <w:szCs w:val="18"/>
          <w:lang w:eastAsia="ko"/>
        </w:rPr>
      </w:pPr>
    </w:p>
    <w:p w14:paraId="6757696B" w14:textId="77777777" w:rsidR="00CD26DB" w:rsidRDefault="00CD26DB" w:rsidP="00C46BA4">
      <w:pPr>
        <w:spacing w:after="0" w:line="240" w:lineRule="auto"/>
        <w:rPr>
          <w:rFonts w:ascii="Verdana" w:hAnsi="Verdana"/>
          <w:b/>
          <w:sz w:val="18"/>
          <w:szCs w:val="18"/>
          <w:lang w:eastAsia="ko"/>
        </w:rPr>
      </w:pPr>
    </w:p>
    <w:p w14:paraId="55748E5B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7A02CE0D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36139205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4989DA7D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4EA51661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0FBC2C00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6EB37408" w14:textId="77777777" w:rsidR="00C90E32" w:rsidRDefault="00C90E32" w:rsidP="00C46BA4">
      <w:pPr>
        <w:spacing w:after="0" w:line="240" w:lineRule="auto"/>
        <w:rPr>
          <w:rFonts w:ascii="Malgun Gothic" w:eastAsia="Malgun Gothic" w:hAnsi="Malgun Gothic" w:cs="Malgun Gothic"/>
          <w:b/>
          <w:sz w:val="18"/>
          <w:szCs w:val="18"/>
          <w:lang w:val="ko" w:eastAsia="ko"/>
        </w:rPr>
      </w:pPr>
    </w:p>
    <w:p w14:paraId="1F741FEA" w14:textId="40F0BDF0" w:rsidR="00B10412" w:rsidRPr="007458CF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proofErr w:type="spellStart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lastRenderedPageBreak/>
        <w:t>사진</w:t>
      </w:r>
      <w:proofErr w:type="spellEnd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t xml:space="preserve"> 및 </w:t>
      </w:r>
      <w:proofErr w:type="spellStart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t>이미지</w:t>
      </w:r>
      <w:proofErr w:type="spellEnd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t xml:space="preserve"> </w:t>
      </w:r>
      <w:proofErr w:type="spellStart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t>자료</w:t>
      </w:r>
      <w:proofErr w:type="spellEnd"/>
      <w:r w:rsidRPr="007458CF">
        <w:rPr>
          <w:rFonts w:ascii="Malgun Gothic" w:eastAsia="Malgun Gothic" w:hAnsi="Malgun Gothic" w:cs="Malgun Gothic"/>
          <w:b/>
          <w:sz w:val="18"/>
          <w:szCs w:val="18"/>
          <w:lang w:val="ko"/>
        </w:rPr>
        <w:t>*:</w:t>
      </w:r>
    </w:p>
    <w:p w14:paraId="44F91904" w14:textId="77777777" w:rsidR="008F2973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3419375" w14:textId="77777777" w:rsidR="006E18DA" w:rsidRDefault="00000000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31EAB4ED" wp14:editId="6DE3F620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C3A6" w14:textId="643F5D1C" w:rsidR="006E18DA" w:rsidRDefault="00C90E32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hyperlink r:id="rId10" w:history="1">
        <w:r w:rsidR="00000000" w:rsidRPr="00C90E32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Uwe Vogt</w:t>
        </w:r>
      </w:hyperlink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Aucotec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이사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“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비록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확정적이지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않더라도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이러한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수치는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최근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몇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년간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당사가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우수한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성과를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도출했으며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올바른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의사결정을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내렸음을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증명합니다</w:t>
      </w:r>
      <w:proofErr w:type="spellEnd"/>
      <w:r w:rsidR="00000000" w:rsidRPr="00CC0E36">
        <w:rPr>
          <w:rFonts w:ascii="Malgun Gothic" w:eastAsia="Malgun Gothic" w:hAnsi="Malgun Gothic" w:cs="Malgun Gothic"/>
          <w:sz w:val="16"/>
          <w:szCs w:val="16"/>
          <w:lang w:val="ko"/>
        </w:rPr>
        <w:t>.”</w:t>
      </w:r>
      <w:r w:rsidR="00000000" w:rsidRPr="00CD1888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(</w:t>
      </w:r>
      <w:proofErr w:type="spellStart"/>
      <w:r w:rsidR="00000000" w:rsidRPr="00CD1888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이미지</w:t>
      </w:r>
      <w:proofErr w:type="spellEnd"/>
      <w:r w:rsidR="00000000" w:rsidRPr="00CD1888"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AUCOTEC AG)</w:t>
      </w:r>
    </w:p>
    <w:p w14:paraId="3BD89078" w14:textId="77777777" w:rsidR="00697CF6" w:rsidRDefault="00697CF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7E2B2B46" w14:textId="77777777" w:rsidR="00697CF6" w:rsidRDefault="00697CF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59281AE8" w14:textId="77777777" w:rsidR="00697CF6" w:rsidRDefault="0000000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drawing>
          <wp:inline distT="0" distB="0" distL="0" distR="0" wp14:anchorId="6C2F37B4" wp14:editId="5D662C99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277F" w14:textId="150E43F5" w:rsidR="00CC0E36" w:rsidRDefault="00000000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지속적인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성장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: </w:t>
      </w: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하노버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인근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이제른하겐의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</w:t>
      </w:r>
      <w:hyperlink r:id="rId13" w:history="1">
        <w:r w:rsidRPr="00C90E32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 xml:space="preserve">Aucotec </w:t>
        </w:r>
        <w:proofErr w:type="spellStart"/>
        <w:r w:rsidRPr="00C90E32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본사</w:t>
        </w:r>
        <w:proofErr w:type="spellEnd"/>
      </w:hyperlink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 xml:space="preserve"> (</w:t>
      </w:r>
      <w:proofErr w:type="spellStart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이미지</w:t>
      </w:r>
      <w:proofErr w:type="spellEnd"/>
      <w:r>
        <w:rPr>
          <w:rFonts w:ascii="Malgun Gothic" w:eastAsia="Malgun Gothic" w:hAnsi="Malgun Gothic" w:cs="Malgun Gothic"/>
          <w:color w:val="000000"/>
          <w:sz w:val="16"/>
          <w:szCs w:val="16"/>
          <w:lang w:val="ko"/>
        </w:rPr>
        <w:t>:  AUCOTEC AG)</w:t>
      </w:r>
    </w:p>
    <w:p w14:paraId="12011E96" w14:textId="77777777" w:rsidR="00CC0E36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4FFF2640" w14:textId="77777777" w:rsidR="00697CF6" w:rsidRPr="0082637D" w:rsidRDefault="00697CF6" w:rsidP="00697CF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</w:p>
    <w:p w14:paraId="0A6B4337" w14:textId="77777777" w:rsidR="00A63359" w:rsidRDefault="00000000" w:rsidP="00A63359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*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저작권의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보호를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받는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이미지입니다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Aucotec과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관련된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편집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목적으로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무료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사용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가능합니다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>.</w:t>
      </w:r>
    </w:p>
    <w:p w14:paraId="4FFE3FEA" w14:textId="77777777" w:rsidR="00C4037B" w:rsidRDefault="00C4037B" w:rsidP="00C46BA4">
      <w:pPr>
        <w:spacing w:after="0" w:line="240" w:lineRule="auto"/>
        <w:rPr>
          <w:rFonts w:ascii="Verdana" w:hAnsi="Verdana"/>
          <w:sz w:val="16"/>
          <w:szCs w:val="16"/>
        </w:rPr>
      </w:pPr>
    </w:p>
    <w:p w14:paraId="67E6D0EB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Malgun Gothic" w:eastAsia="Malgun Gothic" w:hAnsi="Malgun Gothic" w:cs="Malgun Gothic"/>
          <w:sz w:val="16"/>
          <w:szCs w:val="16"/>
          <w:lang w:val="ko"/>
        </w:rPr>
        <w:t>___________________________________________________________________________</w:t>
      </w:r>
    </w:p>
    <w:p w14:paraId="1CE9AA34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eastAsia="ko"/>
        </w:rPr>
      </w:pPr>
      <w:hyperlink r:id="rId14" w:history="1">
        <w:r w:rsidRPr="007E32B5">
          <w:rPr>
            <w:rStyle w:val="Hyperlink"/>
            <w:rFonts w:ascii="Malgun Gothic" w:eastAsia="Malgun Gothic" w:hAnsi="Malgun Gothic" w:cs="Malgun Gothic"/>
            <w:b/>
            <w:sz w:val="16"/>
            <w:szCs w:val="16"/>
            <w:lang w:val="ko"/>
          </w:rPr>
          <w:t>Aucotec AG</w:t>
        </w:r>
        <w:proofErr w:type="spellStart"/>
        <w:r w:rsidRPr="007E32B5">
          <w:rPr>
            <w:rStyle w:val="Hyperlink"/>
            <w:rFonts w:ascii="Malgun Gothic" w:eastAsia="Malgun Gothic" w:hAnsi="Malgun Gothic" w:cs="Malgun Gothic"/>
            <w:b/>
            <w:sz w:val="16"/>
            <w:szCs w:val="16"/>
            <w:lang w:val="ko"/>
          </w:rPr>
          <w:t>는</w:t>
        </w:r>
      </w:hyperlink>
      <w:r>
        <w:rPr>
          <w:rFonts w:ascii="Malgun Gothic" w:eastAsia="Malgun Gothic" w:hAnsi="Malgun Gothic" w:cs="Malgun Gothic"/>
          <w:sz w:val="16"/>
          <w:szCs w:val="16"/>
          <w:lang w:val="ko"/>
        </w:rPr>
        <w:t>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35년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이상의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경험에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기반하여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기계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공장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및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모바일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시스템의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라이프사이클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전체를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위한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엔지니어링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소프트웨어를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개발합니다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이러한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솔루션은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대규모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공장의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제어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및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전기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공학에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사용되는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흐름도부터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자동차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산업의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모듈식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배선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시스템까지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다양한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분야를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아우릅니다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Aucotec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소프트웨어는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세계에서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사용됩니다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>. Aucotec Group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은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하노버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본사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외에도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독일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내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6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개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지사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및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중국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인도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대한민국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네덜란드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프랑스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이탈리아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오스트리아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폴란드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스웨덴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노르웨이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미국에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자회사를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두고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있습니다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또한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Aucotec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는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글로벌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파트너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네트워크를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통해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>전</w:t>
      </w:r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세계에서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현지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지원을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제공합니다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 w:eastAsia="ko"/>
        </w:rPr>
        <w:t>.</w:t>
      </w:r>
    </w:p>
    <w:p w14:paraId="4B3356C5" w14:textId="77777777" w:rsidR="007E32B5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eastAsia="ko"/>
        </w:rPr>
      </w:pPr>
    </w:p>
    <w:p w14:paraId="0B94A128" w14:textId="77777777" w:rsidR="007E32B5" w:rsidRDefault="00000000" w:rsidP="007E32B5">
      <w:pPr>
        <w:spacing w:after="0" w:line="240" w:lineRule="auto"/>
      </w:pP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재판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시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납본을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보내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주십시오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. </w:t>
      </w:r>
      <w:proofErr w:type="spellStart"/>
      <w:r>
        <w:rPr>
          <w:rFonts w:ascii="Malgun Gothic" w:eastAsia="Malgun Gothic" w:hAnsi="Malgun Gothic" w:cs="Malgun Gothic"/>
          <w:sz w:val="16"/>
          <w:szCs w:val="16"/>
          <w:lang w:val="ko"/>
        </w:rPr>
        <w:t>감사합니다</w:t>
      </w:r>
      <w:proofErr w:type="spellEnd"/>
      <w:r>
        <w:rPr>
          <w:rFonts w:ascii="Malgun Gothic" w:eastAsia="Malgun Gothic" w:hAnsi="Malgun Gothic" w:cs="Malgun Gothic"/>
          <w:sz w:val="16"/>
          <w:szCs w:val="16"/>
          <w:lang w:val="ko"/>
        </w:rPr>
        <w:t>.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br/>
      </w:r>
    </w:p>
    <w:p w14:paraId="5FF729FC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Malgun Gothic" w:eastAsia="Malgun Gothic" w:hAnsi="Malgun Gothic" w:cs="Malgun Gothic"/>
          <w:b/>
          <w:sz w:val="16"/>
          <w:szCs w:val="16"/>
          <w:lang w:val="ko"/>
        </w:rPr>
        <w:t>AUCOTEC AG</w:t>
      </w:r>
      <w:r>
        <w:rPr>
          <w:rFonts w:ascii="Malgun Gothic" w:eastAsia="Malgun Gothic" w:hAnsi="Malgun Gothic" w:cs="Malgun Gothic"/>
          <w:sz w:val="16"/>
          <w:szCs w:val="16"/>
          <w:lang w:val="ko"/>
        </w:rPr>
        <w:t xml:space="preserve">, Hannoversche Straße 105, 30916 Isernhagen, www.aucotec.com </w:t>
      </w:r>
    </w:p>
    <w:p w14:paraId="28129A11" w14:textId="77777777" w:rsidR="007E32B5" w:rsidRPr="0013465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134655">
        <w:rPr>
          <w:rFonts w:ascii="Malgun Gothic" w:eastAsia="Malgun Gothic" w:hAnsi="Malgun Gothic" w:cs="Malgun Gothic"/>
          <w:sz w:val="16"/>
          <w:szCs w:val="16"/>
          <w:lang w:val="ko"/>
        </w:rPr>
        <w:t>Public Relations, Arne Peters (</w:t>
      </w:r>
      <w:hyperlink r:id="rId15" w:history="1">
        <w:r w:rsidR="00134655" w:rsidRPr="00134655">
          <w:rPr>
            <w:rStyle w:val="Hyperlink"/>
            <w:rFonts w:ascii="Malgun Gothic" w:eastAsia="Malgun Gothic" w:hAnsi="Malgun Gothic" w:cs="Malgun Gothic"/>
            <w:sz w:val="16"/>
            <w:szCs w:val="16"/>
            <w:lang w:val="ko"/>
          </w:rPr>
          <w:t>arne.peters@aucotec.com</w:t>
        </w:r>
      </w:hyperlink>
      <w:r w:rsidRPr="00134655">
        <w:rPr>
          <w:rFonts w:ascii="Malgun Gothic" w:eastAsia="Malgun Gothic" w:hAnsi="Malgun Gothic" w:cs="Malgun Gothic"/>
          <w:sz w:val="16"/>
          <w:szCs w:val="16"/>
          <w:lang w:val="ko"/>
        </w:rPr>
        <w:t>, +49(0)511-6103192</w:t>
      </w:r>
      <w:r w:rsidRPr="00134655">
        <w:rPr>
          <w:rFonts w:ascii="Malgun Gothic" w:eastAsia="Malgun Gothic" w:hAnsi="Malgun Gothic" w:cs="Malgun Gothic"/>
          <w:sz w:val="18"/>
          <w:szCs w:val="16"/>
          <w:lang w:val="ko"/>
        </w:rPr>
        <w:t>)</w:t>
      </w:r>
    </w:p>
    <w:p w14:paraId="6CAD38C4" w14:textId="77777777" w:rsidR="00C93FF4" w:rsidRPr="00C93FF4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C93FF4" w:rsidSect="002A5AFD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4244" w14:textId="77777777" w:rsidR="002A5AFD" w:rsidRDefault="002A5AFD">
      <w:pPr>
        <w:spacing w:after="0" w:line="240" w:lineRule="auto"/>
      </w:pPr>
      <w:r>
        <w:separator/>
      </w:r>
    </w:p>
  </w:endnote>
  <w:endnote w:type="continuationSeparator" w:id="0">
    <w:p w14:paraId="5B8C8611" w14:textId="77777777" w:rsidR="002A5AFD" w:rsidRDefault="002A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A70F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4622042" wp14:editId="237C5DBE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DE3972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Malgun Gothic" w:eastAsia="Malgun Gothic" w:hAnsi="Malgun Gothic" w:cs="Malgun Gothic"/>
                              <w:color w:val="0095DB"/>
                              <w:sz w:val="24"/>
                              <w:szCs w:val="24"/>
                              <w:lang w:val="ko"/>
                            </w:rPr>
                            <w:t>web</w:t>
                          </w:r>
                          <w:r w:rsidRPr="00254B77">
                            <w:rPr>
                              <w:rFonts w:ascii="Malgun Gothic" w:eastAsia="Malgun Gothic" w:hAnsi="Malgun Gothic" w:cs="Malgun Gothic"/>
                              <w:color w:val="FFFFFF" w:themeColor="background1"/>
                              <w:sz w:val="24"/>
                              <w:szCs w:val="24"/>
                              <w:lang w:val="ko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2204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59DE3972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Malgun Gothic" w:eastAsia="Malgun Gothic" w:hAnsi="Malgun Gothic" w:cs="Malgun Gothic"/>
                        <w:color w:val="0095DB"/>
                        <w:sz w:val="24"/>
                        <w:szCs w:val="24"/>
                        <w:lang w:val="ko"/>
                      </w:rPr>
                      <w:t>web</w:t>
                    </w:r>
                    <w:r w:rsidRPr="00254B77">
                      <w:rPr>
                        <w:rFonts w:ascii="Malgun Gothic" w:eastAsia="Malgun Gothic" w:hAnsi="Malgun Gothic" w:cs="Malgun Gothic"/>
                        <w:color w:val="FFFFFF" w:themeColor="background1"/>
                        <w:sz w:val="24"/>
                        <w:szCs w:val="24"/>
                        <w:lang w:val="ko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250CB9" wp14:editId="2966191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B3AB" w14:textId="77777777" w:rsidR="002A5AFD" w:rsidRDefault="002A5AFD">
      <w:pPr>
        <w:spacing w:after="0" w:line="240" w:lineRule="auto"/>
      </w:pPr>
      <w:r>
        <w:separator/>
      </w:r>
    </w:p>
  </w:footnote>
  <w:footnote w:type="continuationSeparator" w:id="0">
    <w:p w14:paraId="63D83971" w14:textId="77777777" w:rsidR="002A5AFD" w:rsidRDefault="002A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7E9B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04C3894" wp14:editId="37236839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EF08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4CDD087B" wp14:editId="569B25F5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096585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AB6E35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A32C54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29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44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07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847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2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AE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A4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2274">
    <w:abstractNumId w:val="0"/>
  </w:num>
  <w:num w:numId="2" w16cid:durableId="993021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7965"/>
    <w:rsid w:val="000B0FB9"/>
    <w:rsid w:val="000D7058"/>
    <w:rsid w:val="000D7AEE"/>
    <w:rsid w:val="000F7BF8"/>
    <w:rsid w:val="00100C22"/>
    <w:rsid w:val="00102450"/>
    <w:rsid w:val="00134655"/>
    <w:rsid w:val="00134C03"/>
    <w:rsid w:val="00142637"/>
    <w:rsid w:val="00144F08"/>
    <w:rsid w:val="001A05E2"/>
    <w:rsid w:val="001A30EC"/>
    <w:rsid w:val="001D7A5A"/>
    <w:rsid w:val="0020645D"/>
    <w:rsid w:val="002143C8"/>
    <w:rsid w:val="00220369"/>
    <w:rsid w:val="00222501"/>
    <w:rsid w:val="00225216"/>
    <w:rsid w:val="00254B77"/>
    <w:rsid w:val="002555D7"/>
    <w:rsid w:val="0026678C"/>
    <w:rsid w:val="00274296"/>
    <w:rsid w:val="00276121"/>
    <w:rsid w:val="00282455"/>
    <w:rsid w:val="002A5AFD"/>
    <w:rsid w:val="002B2D28"/>
    <w:rsid w:val="002C6E1A"/>
    <w:rsid w:val="002D31CA"/>
    <w:rsid w:val="00307185"/>
    <w:rsid w:val="00315F34"/>
    <w:rsid w:val="00330407"/>
    <w:rsid w:val="00340633"/>
    <w:rsid w:val="00390093"/>
    <w:rsid w:val="003A1E0C"/>
    <w:rsid w:val="003C6583"/>
    <w:rsid w:val="003E467A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B7EF8"/>
    <w:rsid w:val="005D3615"/>
    <w:rsid w:val="005E4C69"/>
    <w:rsid w:val="005F73A6"/>
    <w:rsid w:val="00611E85"/>
    <w:rsid w:val="006120A6"/>
    <w:rsid w:val="0061477F"/>
    <w:rsid w:val="00637A44"/>
    <w:rsid w:val="00642FB1"/>
    <w:rsid w:val="006644D7"/>
    <w:rsid w:val="006811CA"/>
    <w:rsid w:val="00690A61"/>
    <w:rsid w:val="00697CF6"/>
    <w:rsid w:val="006A047C"/>
    <w:rsid w:val="006B0274"/>
    <w:rsid w:val="006C5D85"/>
    <w:rsid w:val="006D3B83"/>
    <w:rsid w:val="006E18DA"/>
    <w:rsid w:val="0071484F"/>
    <w:rsid w:val="007458CF"/>
    <w:rsid w:val="0078452E"/>
    <w:rsid w:val="007E32B5"/>
    <w:rsid w:val="007E4CC8"/>
    <w:rsid w:val="007E7D28"/>
    <w:rsid w:val="007F3E43"/>
    <w:rsid w:val="0082637D"/>
    <w:rsid w:val="008339F3"/>
    <w:rsid w:val="00840176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F2973"/>
    <w:rsid w:val="008F7DF4"/>
    <w:rsid w:val="00932F77"/>
    <w:rsid w:val="00952E4E"/>
    <w:rsid w:val="00965CD1"/>
    <w:rsid w:val="00972C4E"/>
    <w:rsid w:val="00972D6E"/>
    <w:rsid w:val="00993EA1"/>
    <w:rsid w:val="009B0656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B1A83"/>
    <w:rsid w:val="00B012E2"/>
    <w:rsid w:val="00B03A52"/>
    <w:rsid w:val="00B10412"/>
    <w:rsid w:val="00B1164E"/>
    <w:rsid w:val="00B94B4C"/>
    <w:rsid w:val="00BA7E19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0E32"/>
    <w:rsid w:val="00C93FF4"/>
    <w:rsid w:val="00CC0E36"/>
    <w:rsid w:val="00CD1888"/>
    <w:rsid w:val="00CD26DB"/>
    <w:rsid w:val="00CF2546"/>
    <w:rsid w:val="00CF6C11"/>
    <w:rsid w:val="00D035C8"/>
    <w:rsid w:val="00D05C16"/>
    <w:rsid w:val="00D2145D"/>
    <w:rsid w:val="00D30C17"/>
    <w:rsid w:val="00D51FA5"/>
    <w:rsid w:val="00D57F3A"/>
    <w:rsid w:val="00D771EC"/>
    <w:rsid w:val="00D90639"/>
    <w:rsid w:val="00D90839"/>
    <w:rsid w:val="00D974CE"/>
    <w:rsid w:val="00DB3364"/>
    <w:rsid w:val="00E26CC5"/>
    <w:rsid w:val="00E61086"/>
    <w:rsid w:val="00E713FE"/>
    <w:rsid w:val="00E752D7"/>
    <w:rsid w:val="00EA460F"/>
    <w:rsid w:val="00EB754E"/>
    <w:rsid w:val="00EC5870"/>
    <w:rsid w:val="00ED269C"/>
    <w:rsid w:val="00EE01C7"/>
    <w:rsid w:val="00F06C93"/>
    <w:rsid w:val="00F45C22"/>
    <w:rsid w:val="00F97432"/>
    <w:rsid w:val="00FA7F0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A4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rsid w:val="00C90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4_2024/AUC_Uwe_Vogt.jpg" TargetMode="External"/><Relationship Id="rId13" Type="http://schemas.openxmlformats.org/officeDocument/2006/relationships/hyperlink" Target="https://www.aucotec.com/fileadmin/user_upload/Company/Pressemitteilung/2024/4_2024/AUC_Zentrale_Hannov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4_2024/AUC_Zentrale_Hannov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Company/Pressemitteilung/2024/4_2024/AUC_Uwe_Vog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PM-AUCOTEC_Fiscal_Year_23-24_KO</dc:title>
  <dc:creator/>
  <cp:lastModifiedBy/>
  <cp:revision>1</cp:revision>
  <dcterms:created xsi:type="dcterms:W3CDTF">2024-05-28T08:10:00Z</dcterms:created>
  <dcterms:modified xsi:type="dcterms:W3CDTF">2024-05-28T08:11:00Z</dcterms:modified>
</cp:coreProperties>
</file>